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098A" w14:textId="44C914A3" w:rsidR="00F05B08" w:rsidRDefault="00BA7A63" w:rsidP="00F05B08">
      <w:pPr>
        <w:spacing w:line="360" w:lineRule="auto"/>
        <w:jc w:val="center"/>
        <w:rPr>
          <w:rFonts w:ascii="Aptos" w:eastAsia="Aptos" w:hAnsi="Aptos" w:cs="Times New Roman"/>
          <w:b/>
          <w:kern w:val="2"/>
          <w:sz w:val="28"/>
          <w:szCs w:val="28"/>
          <w14:ligatures w14:val="standardContextual"/>
        </w:rPr>
      </w:pPr>
      <w:r>
        <w:rPr>
          <w:noProof/>
          <w:lang w:eastAsia="es-MX"/>
        </w:rPr>
        <w:drawing>
          <wp:anchor distT="0" distB="0" distL="114300" distR="114300" simplePos="0" relativeHeight="251659264" behindDoc="0" locked="0" layoutInCell="1" allowOverlap="1" wp14:anchorId="0283F242" wp14:editId="5F1688CB">
            <wp:simplePos x="0" y="0"/>
            <wp:positionH relativeFrom="column">
              <wp:posOffset>-884646</wp:posOffset>
            </wp:positionH>
            <wp:positionV relativeFrom="paragraph">
              <wp:posOffset>-875665</wp:posOffset>
            </wp:positionV>
            <wp:extent cx="7743825" cy="2285556"/>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743825" cy="2285556"/>
                    </a:xfrm>
                    <a:prstGeom prst="rect">
                      <a:avLst/>
                    </a:prstGeom>
                  </pic:spPr>
                </pic:pic>
              </a:graphicData>
            </a:graphic>
          </wp:anchor>
        </w:drawing>
      </w:r>
    </w:p>
    <w:p w14:paraId="13FAE7A6" w14:textId="4CDC5309" w:rsidR="00BA7A63" w:rsidRDefault="00626242" w:rsidP="00626242">
      <w:pPr>
        <w:spacing w:line="360" w:lineRule="auto"/>
        <w:ind w:left="709" w:hanging="709"/>
        <w:jc w:val="center"/>
        <w:rPr>
          <w:rFonts w:ascii="Aptos" w:eastAsia="Aptos" w:hAnsi="Aptos" w:cs="Times New Roman"/>
          <w:b/>
          <w:kern w:val="2"/>
          <w:sz w:val="28"/>
          <w:szCs w:val="28"/>
          <w14:ligatures w14:val="standardContextual"/>
        </w:rPr>
      </w:pPr>
      <w:r>
        <w:rPr>
          <w:rFonts w:ascii="Aptos" w:eastAsia="Aptos" w:hAnsi="Aptos" w:cs="Times New Roman"/>
          <w:b/>
          <w:kern w:val="2"/>
          <w:sz w:val="28"/>
          <w:szCs w:val="28"/>
          <w14:ligatures w14:val="standardContextual"/>
        </w:rPr>
        <w:tab/>
      </w:r>
    </w:p>
    <w:p w14:paraId="1B959017" w14:textId="25A5D5AF" w:rsidR="00BA7A63" w:rsidRDefault="00BA7A63" w:rsidP="00626242">
      <w:pPr>
        <w:spacing w:line="360" w:lineRule="auto"/>
        <w:ind w:left="709" w:hanging="709"/>
        <w:jc w:val="center"/>
        <w:rPr>
          <w:rFonts w:ascii="Aptos" w:eastAsia="Aptos" w:hAnsi="Aptos" w:cs="Times New Roman"/>
          <w:b/>
          <w:kern w:val="2"/>
          <w:sz w:val="28"/>
          <w:szCs w:val="28"/>
          <w14:ligatures w14:val="standardContextual"/>
        </w:rPr>
      </w:pPr>
      <w:r>
        <w:rPr>
          <w:noProof/>
          <w:lang w:eastAsia="es-MX"/>
        </w:rPr>
        <mc:AlternateContent>
          <mc:Choice Requires="wps">
            <w:drawing>
              <wp:anchor distT="0" distB="0" distL="114300" distR="114300" simplePos="0" relativeHeight="251670528" behindDoc="0" locked="0" layoutInCell="1" allowOverlap="1" wp14:anchorId="56E51A50" wp14:editId="12FAC32E">
                <wp:simplePos x="0" y="0"/>
                <wp:positionH relativeFrom="column">
                  <wp:posOffset>941796</wp:posOffset>
                </wp:positionH>
                <wp:positionV relativeFrom="paragraph">
                  <wp:posOffset>2163445</wp:posOffset>
                </wp:positionV>
                <wp:extent cx="4728754" cy="2324917"/>
                <wp:effectExtent l="0" t="0" r="0" b="0"/>
                <wp:wrapNone/>
                <wp:docPr id="11" name="Rectángulo redondeado 11"/>
                <wp:cNvGraphicFramePr/>
                <a:graphic xmlns:a="http://schemas.openxmlformats.org/drawingml/2006/main">
                  <a:graphicData uri="http://schemas.microsoft.com/office/word/2010/wordprocessingShape">
                    <wps:wsp>
                      <wps:cNvSpPr/>
                      <wps:spPr>
                        <a:xfrm>
                          <a:off x="0" y="0"/>
                          <a:ext cx="4728754" cy="2324917"/>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8FD58" w14:textId="77777777" w:rsidR="00BA7A63" w:rsidRPr="003134B4" w:rsidRDefault="00BA7A63" w:rsidP="00BA7A63">
                            <w:pPr>
                              <w:jc w:val="center"/>
                              <w:rPr>
                                <w:b/>
                                <w:i/>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BFF9E" w14:textId="77777777" w:rsidR="00BA7A63" w:rsidRPr="003134B4" w:rsidRDefault="00BA7A63" w:rsidP="00BA7A63">
                            <w:pPr>
                              <w:jc w:val="center"/>
                              <w:rPr>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7A63">
                              <w:rPr>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Derecho ambiental y sistemas adaptativos: los derechos digitales ambientales en la era del antropoceno.</w:t>
                            </w:r>
                            <w:r>
                              <w:rPr>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51A50" id="Rectángulo redondeado 11" o:spid="_x0000_s1026" style="position:absolute;left:0;text-align:left;margin-left:74.15pt;margin-top:170.35pt;width:372.35pt;height:18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" filled="f" stroked="f" strokeweight="1pt">
                <v:stroke joinstyle="miter"/>
                <v:textbox>
                  <w:txbxContent>
                    <w:p w14:paraId="43D8FD58" w14:textId="77777777" w:rsidR="00BA7A63" w:rsidRPr="003134B4" w:rsidRDefault="00BA7A63" w:rsidP="00BA7A63">
                      <w:pPr>
                        <w:jc w:val="center"/>
                        <w:rPr>
                          <w:b/>
                          <w:i/>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BFF9E" w14:textId="77777777" w:rsidR="00BA7A63" w:rsidRPr="003134B4" w:rsidRDefault="00BA7A63" w:rsidP="00BA7A63">
                      <w:pPr>
                        <w:jc w:val="center"/>
                        <w:rPr>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7A63">
                        <w:rPr>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Derecho ambiental y sistemas adaptativos: los derechos digitales ambientales en la era del antropoceno.</w:t>
                      </w:r>
                      <w:r>
                        <w:rPr>
                          <w:b/>
                          <w: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oundrect>
            </w:pict>
          </mc:Fallback>
        </mc:AlternateContent>
      </w:r>
      <w:r>
        <w:rPr>
          <w:noProof/>
          <w:lang w:eastAsia="es-MX"/>
        </w:rPr>
        <w:drawing>
          <wp:anchor distT="0" distB="0" distL="114300" distR="114300" simplePos="0" relativeHeight="251665408" behindDoc="0" locked="0" layoutInCell="1" allowOverlap="1" wp14:anchorId="5313148A" wp14:editId="1E07DC29">
            <wp:simplePos x="0" y="0"/>
            <wp:positionH relativeFrom="column">
              <wp:posOffset>-269875</wp:posOffset>
            </wp:positionH>
            <wp:positionV relativeFrom="paragraph">
              <wp:posOffset>2541905</wp:posOffset>
            </wp:positionV>
            <wp:extent cx="6856027" cy="1946366"/>
            <wp:effectExtent l="0" t="0" r="254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856027" cy="1946366"/>
                    </a:xfrm>
                    <a:prstGeom prst="rect">
                      <a:avLst/>
                    </a:prstGeom>
                  </pic:spPr>
                </pic:pic>
              </a:graphicData>
            </a:graphic>
            <wp14:sizeRelV relativeFrom="margin">
              <wp14:pctHeight>0</wp14:pctHeight>
            </wp14:sizeRelV>
          </wp:anchor>
        </w:drawing>
      </w:r>
    </w:p>
    <w:p w14:paraId="53C59274" w14:textId="7559FE6E" w:rsidR="00626242" w:rsidRPr="00BA7A63" w:rsidRDefault="00143380" w:rsidP="00BA7A63">
      <w:pPr>
        <w:spacing w:line="360" w:lineRule="auto"/>
        <w:ind w:left="709" w:hanging="709"/>
        <w:jc w:val="center"/>
        <w:rPr>
          <w:rFonts w:ascii="Aptos" w:eastAsia="Aptos" w:hAnsi="Aptos" w:cs="Times New Roman"/>
          <w:b/>
          <w:kern w:val="2"/>
          <w:sz w:val="28"/>
          <w:szCs w:val="28"/>
          <w14:ligatures w14:val="standardContextual"/>
        </w:rPr>
      </w:pPr>
      <w:r>
        <w:rPr>
          <w:noProof/>
          <w:lang w:eastAsia="es-MX"/>
        </w:rPr>
        <w:drawing>
          <wp:anchor distT="0" distB="0" distL="114300" distR="114300" simplePos="0" relativeHeight="251663360" behindDoc="0" locked="0" layoutInCell="1" allowOverlap="1" wp14:anchorId="04963DBD" wp14:editId="08B1DDF9">
            <wp:simplePos x="0" y="0"/>
            <wp:positionH relativeFrom="column">
              <wp:posOffset>-378460</wp:posOffset>
            </wp:positionH>
            <wp:positionV relativeFrom="paragraph">
              <wp:posOffset>320675</wp:posOffset>
            </wp:positionV>
            <wp:extent cx="6682105" cy="6259830"/>
            <wp:effectExtent l="0" t="0" r="0" b="1270"/>
            <wp:wrapThrough wrapText="bothSides">
              <wp:wrapPolygon edited="0">
                <wp:start x="246" y="0"/>
                <wp:lineTo x="82" y="131"/>
                <wp:lineTo x="0" y="394"/>
                <wp:lineTo x="0" y="21254"/>
                <wp:lineTo x="164" y="21517"/>
                <wp:lineTo x="246" y="21561"/>
                <wp:lineTo x="21306" y="21561"/>
                <wp:lineTo x="21389" y="21517"/>
                <wp:lineTo x="21553" y="21254"/>
                <wp:lineTo x="21553" y="394"/>
                <wp:lineTo x="21471" y="131"/>
                <wp:lineTo x="21306" y="0"/>
                <wp:lineTo x="246" y="0"/>
              </wp:wrapPolygon>
            </wp:wrapThrough>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682105" cy="625983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BA7A63">
        <w:rPr>
          <w:noProof/>
          <w:lang w:eastAsia="es-MX"/>
        </w:rPr>
        <w:drawing>
          <wp:anchor distT="0" distB="0" distL="114300" distR="114300" simplePos="0" relativeHeight="251669504" behindDoc="0" locked="0" layoutInCell="1" allowOverlap="1" wp14:anchorId="52EFBBF7" wp14:editId="333582C2">
            <wp:simplePos x="0" y="0"/>
            <wp:positionH relativeFrom="column">
              <wp:posOffset>2129246</wp:posOffset>
            </wp:positionH>
            <wp:positionV relativeFrom="paragraph">
              <wp:posOffset>7005139</wp:posOffset>
            </wp:positionV>
            <wp:extent cx="1780032" cy="75891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780032" cy="758916"/>
                    </a:xfrm>
                    <a:prstGeom prst="rect">
                      <a:avLst/>
                    </a:prstGeom>
                  </pic:spPr>
                </pic:pic>
              </a:graphicData>
            </a:graphic>
          </wp:anchor>
        </w:drawing>
      </w:r>
      <w:r w:rsidR="00BA7A63">
        <w:rPr>
          <w:noProof/>
          <w:lang w:eastAsia="es-MX"/>
        </w:rPr>
        <mc:AlternateContent>
          <mc:Choice Requires="wps">
            <w:drawing>
              <wp:anchor distT="0" distB="0" distL="114300" distR="114300" simplePos="0" relativeHeight="251661312" behindDoc="0" locked="0" layoutInCell="1" allowOverlap="1" wp14:anchorId="1671F3AF" wp14:editId="2C9E4822">
                <wp:simplePos x="0" y="0"/>
                <wp:positionH relativeFrom="column">
                  <wp:posOffset>4415246</wp:posOffset>
                </wp:positionH>
                <wp:positionV relativeFrom="paragraph">
                  <wp:posOffset>21681</wp:posOffset>
                </wp:positionV>
                <wp:extent cx="2162535" cy="151053"/>
                <wp:effectExtent l="0" t="0" r="0" b="0"/>
                <wp:wrapNone/>
                <wp:docPr id="7" name="Textbox 7"/>
                <wp:cNvGraphicFramePr/>
                <a:graphic xmlns:a="http://schemas.openxmlformats.org/drawingml/2006/main">
                  <a:graphicData uri="http://schemas.microsoft.com/office/word/2010/wordprocessingShape">
                    <wps:wsp>
                      <wps:cNvSpPr txBox="1"/>
                      <wps:spPr>
                        <a:xfrm>
                          <a:off x="0" y="0"/>
                          <a:ext cx="2162535" cy="151053"/>
                        </a:xfrm>
                        <a:prstGeom prst="rect">
                          <a:avLst/>
                        </a:prstGeom>
                      </wps:spPr>
                      <wps:txbx>
                        <w:txbxContent>
                          <w:p w14:paraId="3BE2BFC8" w14:textId="77777777" w:rsidR="00BA7A63" w:rsidRDefault="00BA7A63" w:rsidP="00BA7A63">
                            <w:pPr>
                              <w:spacing w:line="203" w:lineRule="exact"/>
                              <w:rPr>
                                <w:rFonts w:ascii="Arial" w:hAnsi="Arial"/>
                                <w:b/>
                                <w:sz w:val="18"/>
                              </w:rPr>
                            </w:pPr>
                            <w:r>
                              <w:rPr>
                                <w:rFonts w:ascii="Arial" w:hAnsi="Arial"/>
                                <w:b/>
                                <w:color w:val="FFFFFF"/>
                                <w:sz w:val="18"/>
                              </w:rPr>
                              <w:t>EDICIÓN</w:t>
                            </w:r>
                            <w:r>
                              <w:rPr>
                                <w:rFonts w:ascii="Arial" w:hAnsi="Arial"/>
                                <w:b/>
                                <w:color w:val="FFFFFF"/>
                                <w:spacing w:val="-9"/>
                                <w:sz w:val="18"/>
                              </w:rPr>
                              <w:t xml:space="preserve"> </w:t>
                            </w:r>
                            <w:r>
                              <w:rPr>
                                <w:rFonts w:ascii="Arial" w:hAnsi="Arial"/>
                                <w:b/>
                                <w:color w:val="FFFFFF"/>
                                <w:sz w:val="18"/>
                              </w:rPr>
                              <w:t>1</w:t>
                            </w:r>
                            <w:r>
                              <w:rPr>
                                <w:rFonts w:ascii="Arial" w:hAnsi="Arial"/>
                                <w:b/>
                                <w:color w:val="FFFFFF"/>
                                <w:spacing w:val="-2"/>
                                <w:sz w:val="18"/>
                              </w:rPr>
                              <w:t xml:space="preserve"> </w:t>
                            </w:r>
                            <w:r>
                              <w:rPr>
                                <w:rFonts w:ascii="Arial" w:hAnsi="Arial"/>
                                <w:b/>
                                <w:color w:val="FFFFFF"/>
                                <w:sz w:val="18"/>
                              </w:rPr>
                              <w:t>/ 20</w:t>
                            </w:r>
                            <w:r>
                              <w:rPr>
                                <w:rFonts w:ascii="Arial" w:hAnsi="Arial"/>
                                <w:b/>
                                <w:color w:val="FFFFFF"/>
                                <w:spacing w:val="-2"/>
                                <w:sz w:val="18"/>
                              </w:rPr>
                              <w:t xml:space="preserve"> </w:t>
                            </w:r>
                            <w:r>
                              <w:rPr>
                                <w:rFonts w:ascii="Arial" w:hAnsi="Arial"/>
                                <w:b/>
                                <w:color w:val="FFFFFF"/>
                                <w:sz w:val="18"/>
                              </w:rPr>
                              <w:t>DE</w:t>
                            </w:r>
                            <w:r>
                              <w:rPr>
                                <w:rFonts w:ascii="Arial" w:hAnsi="Arial"/>
                                <w:b/>
                                <w:color w:val="FFFFFF"/>
                                <w:spacing w:val="-3"/>
                                <w:sz w:val="18"/>
                              </w:rPr>
                              <w:t xml:space="preserve"> </w:t>
                            </w:r>
                            <w:r>
                              <w:rPr>
                                <w:rFonts w:ascii="Arial" w:hAnsi="Arial"/>
                                <w:b/>
                                <w:color w:val="FFFFFF"/>
                                <w:sz w:val="18"/>
                              </w:rPr>
                              <w:t>ENERO DE</w:t>
                            </w:r>
                            <w:r>
                              <w:rPr>
                                <w:rFonts w:ascii="Arial" w:hAnsi="Arial"/>
                                <w:b/>
                                <w:color w:val="FFFFFF"/>
                                <w:spacing w:val="1"/>
                                <w:sz w:val="18"/>
                              </w:rPr>
                              <w:t xml:space="preserve"> </w:t>
                            </w:r>
                            <w:r>
                              <w:rPr>
                                <w:rFonts w:ascii="Arial" w:hAnsi="Arial"/>
                                <w:b/>
                                <w:color w:val="FFFFFF"/>
                                <w:spacing w:val="-4"/>
                                <w:sz w:val="18"/>
                              </w:rPr>
                              <w:t>2026</w:t>
                            </w:r>
                          </w:p>
                        </w:txbxContent>
                      </wps:txbx>
                      <wps:bodyPr wrap="square" lIns="0" tIns="0" rIns="0" bIns="0" rtlCol="0">
                        <a:noAutofit/>
                      </wps:bodyPr>
                    </wps:wsp>
                  </a:graphicData>
                </a:graphic>
              </wp:anchor>
            </w:drawing>
          </mc:Choice>
          <mc:Fallback>
            <w:pict>
              <v:shapetype w14:anchorId="1671F3AF" id="_x0000_t202" coordsize="21600,21600" o:spt="202" path="m,l,21600r21600,l21600,xe">
                <v:stroke joinstyle="miter"/>
                <v:path gradientshapeok="t" o:connecttype="rect"/>
              </v:shapetype>
              <v:shape id="Textbox 7" o:spid="_x0000_s1027" type="#_x0000_t202" style="position:absolute;left:0;text-align:left;margin-left:347.65pt;margin-top:1.7pt;width:170.3pt;height:1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" filled="f" stroked="f">
                <v:textbox inset="0,0,0,0">
                  <w:txbxContent>
                    <w:p w:rsidR="00BA7A63" w:rsidRDefault="00BA7A63" w:rsidP="00BA7A63">
                      <w:pPr>
                        <w:spacing w:line="203" w:lineRule="exact"/>
                        <w:rPr>
                          <w:rFonts w:ascii="Arial" w:hAnsi="Arial"/>
                          <w:b/>
                          <w:sz w:val="18"/>
                        </w:rPr>
                      </w:pPr>
                      <w:r>
                        <w:rPr>
                          <w:rFonts w:ascii="Arial" w:hAnsi="Arial"/>
                          <w:b/>
                          <w:color w:val="FFFFFF"/>
                          <w:sz w:val="18"/>
                        </w:rPr>
                        <w:t>EDICIÓN</w:t>
                      </w:r>
                      <w:r>
                        <w:rPr>
                          <w:rFonts w:ascii="Arial" w:hAnsi="Arial"/>
                          <w:b/>
                          <w:color w:val="FFFFFF"/>
                          <w:spacing w:val="-9"/>
                          <w:sz w:val="18"/>
                        </w:rPr>
                        <w:t xml:space="preserve"> </w:t>
                      </w:r>
                      <w:r>
                        <w:rPr>
                          <w:rFonts w:ascii="Arial" w:hAnsi="Arial"/>
                          <w:b/>
                          <w:color w:val="FFFFFF"/>
                          <w:sz w:val="18"/>
                        </w:rPr>
                        <w:t>1</w:t>
                      </w:r>
                      <w:r>
                        <w:rPr>
                          <w:rFonts w:ascii="Arial" w:hAnsi="Arial"/>
                          <w:b/>
                          <w:color w:val="FFFFFF"/>
                          <w:spacing w:val="-2"/>
                          <w:sz w:val="18"/>
                        </w:rPr>
                        <w:t xml:space="preserve"> </w:t>
                      </w:r>
                      <w:r>
                        <w:rPr>
                          <w:rFonts w:ascii="Arial" w:hAnsi="Arial"/>
                          <w:b/>
                          <w:color w:val="FFFFFF"/>
                          <w:sz w:val="18"/>
                        </w:rPr>
                        <w:t>/ 20</w:t>
                      </w:r>
                      <w:r>
                        <w:rPr>
                          <w:rFonts w:ascii="Arial" w:hAnsi="Arial"/>
                          <w:b/>
                          <w:color w:val="FFFFFF"/>
                          <w:spacing w:val="-2"/>
                          <w:sz w:val="18"/>
                        </w:rPr>
                        <w:t xml:space="preserve"> </w:t>
                      </w:r>
                      <w:r>
                        <w:rPr>
                          <w:rFonts w:ascii="Arial" w:hAnsi="Arial"/>
                          <w:b/>
                          <w:color w:val="FFFFFF"/>
                          <w:sz w:val="18"/>
                        </w:rPr>
                        <w:t>DE</w:t>
                      </w:r>
                      <w:r>
                        <w:rPr>
                          <w:rFonts w:ascii="Arial" w:hAnsi="Arial"/>
                          <w:b/>
                          <w:color w:val="FFFFFF"/>
                          <w:spacing w:val="-3"/>
                          <w:sz w:val="18"/>
                        </w:rPr>
                        <w:t xml:space="preserve"> </w:t>
                      </w:r>
                      <w:r>
                        <w:rPr>
                          <w:rFonts w:ascii="Arial" w:hAnsi="Arial"/>
                          <w:b/>
                          <w:color w:val="FFFFFF"/>
                          <w:sz w:val="18"/>
                        </w:rPr>
                        <w:t>ENERO DE</w:t>
                      </w:r>
                      <w:r>
                        <w:rPr>
                          <w:rFonts w:ascii="Arial" w:hAnsi="Arial"/>
                          <w:b/>
                          <w:color w:val="FFFFFF"/>
                          <w:spacing w:val="1"/>
                          <w:sz w:val="18"/>
                        </w:rPr>
                        <w:t xml:space="preserve"> </w:t>
                      </w:r>
                      <w:r>
                        <w:rPr>
                          <w:rFonts w:ascii="Arial" w:hAnsi="Arial"/>
                          <w:b/>
                          <w:color w:val="FFFFFF"/>
                          <w:spacing w:val="-4"/>
                          <w:sz w:val="18"/>
                        </w:rPr>
                        <w:t>2026</w:t>
                      </w:r>
                    </w:p>
                  </w:txbxContent>
                </v:textbox>
              </v:shape>
            </w:pict>
          </mc:Fallback>
        </mc:AlternateContent>
      </w:r>
    </w:p>
    <w:p w14:paraId="76203F1E" w14:textId="5BCAE6D0" w:rsidR="00143380" w:rsidRDefault="00143380" w:rsidP="00626242">
      <w:pPr>
        <w:spacing w:after="0" w:line="240" w:lineRule="auto"/>
        <w:jc w:val="right"/>
        <w:rPr>
          <w:rFonts w:ascii="Times New Roman" w:eastAsia="Aptos" w:hAnsi="Times New Roman" w:cs="Times New Roman"/>
          <w:b/>
          <w:bCs/>
          <w:kern w:val="2"/>
          <w:sz w:val="24"/>
          <w:szCs w:val="24"/>
          <w14:ligatures w14:val="standardContextual"/>
        </w:rPr>
      </w:pPr>
    </w:p>
    <w:p w14:paraId="5D904CA6" w14:textId="0632B514" w:rsidR="00626242" w:rsidRPr="00626242" w:rsidRDefault="00626242" w:rsidP="00626242">
      <w:pPr>
        <w:spacing w:after="0" w:line="240" w:lineRule="auto"/>
        <w:jc w:val="right"/>
        <w:rPr>
          <w:rFonts w:ascii="Times New Roman" w:eastAsia="Aptos" w:hAnsi="Times New Roman" w:cs="Times New Roman"/>
          <w:b/>
          <w:bCs/>
          <w:kern w:val="2"/>
          <w:sz w:val="24"/>
          <w:szCs w:val="24"/>
          <w14:ligatures w14:val="standardContextual"/>
        </w:rPr>
      </w:pPr>
      <w:r w:rsidRPr="00626242">
        <w:rPr>
          <w:rFonts w:ascii="Times New Roman" w:eastAsia="Aptos" w:hAnsi="Times New Roman" w:cs="Times New Roman"/>
          <w:b/>
          <w:bCs/>
          <w:kern w:val="2"/>
          <w:sz w:val="24"/>
          <w:szCs w:val="24"/>
          <w14:ligatures w14:val="standardContextual"/>
        </w:rPr>
        <w:lastRenderedPageBreak/>
        <w:t>Zaire Vázquez Orduña</w:t>
      </w:r>
      <w:r w:rsidRPr="00626242">
        <w:rPr>
          <w:rFonts w:ascii="Times New Roman" w:eastAsia="Aptos" w:hAnsi="Times New Roman" w:cs="Times New Roman"/>
          <w:b/>
          <w:bCs/>
          <w:kern w:val="2"/>
          <w:sz w:val="24"/>
          <w:szCs w:val="24"/>
          <w:vertAlign w:val="superscript"/>
          <w14:ligatures w14:val="standardContextual"/>
        </w:rPr>
        <w:footnoteReference w:customMarkFollows="1" w:id="1"/>
        <w:t>*</w:t>
      </w:r>
    </w:p>
    <w:p w14:paraId="03D95459" w14:textId="37ACAA7E" w:rsidR="00626242" w:rsidRPr="00626242" w:rsidRDefault="00626242" w:rsidP="00626242">
      <w:pPr>
        <w:spacing w:after="0" w:line="240" w:lineRule="auto"/>
        <w:jc w:val="right"/>
        <w:rPr>
          <w:rFonts w:ascii="Times New Roman" w:eastAsia="Times New Roman" w:hAnsi="Times New Roman" w:cs="Times New Roman"/>
          <w:kern w:val="2"/>
          <w:sz w:val="24"/>
          <w:szCs w:val="24"/>
          <w14:ligatures w14:val="standardContextual"/>
        </w:rPr>
      </w:pPr>
      <w:r w:rsidRPr="00626242">
        <w:rPr>
          <w:rFonts w:ascii="Times New Roman" w:eastAsia="Times New Roman" w:hAnsi="Times New Roman" w:cs="Times New Roman"/>
          <w:kern w:val="2"/>
          <w:sz w:val="24"/>
          <w:szCs w:val="24"/>
          <w14:ligatures w14:val="standardContextual"/>
        </w:rPr>
        <w:t>Doctorado en Derecho</w:t>
      </w:r>
    </w:p>
    <w:p w14:paraId="43859E38" w14:textId="69C973B6" w:rsidR="00626242" w:rsidRPr="00626242" w:rsidRDefault="00626242" w:rsidP="00626242">
      <w:pPr>
        <w:spacing w:after="0" w:line="240" w:lineRule="auto"/>
        <w:jc w:val="right"/>
        <w:rPr>
          <w:rFonts w:ascii="Times New Roman" w:eastAsia="Aptos" w:hAnsi="Times New Roman" w:cs="Times New Roman"/>
          <w:kern w:val="2"/>
          <w:sz w:val="24"/>
          <w:szCs w:val="24"/>
          <w14:ligatures w14:val="standardContextual"/>
        </w:rPr>
      </w:pPr>
      <w:r w:rsidRPr="00626242">
        <w:rPr>
          <w:rFonts w:ascii="Times New Roman" w:eastAsia="Aptos" w:hAnsi="Times New Roman" w:cs="Times New Roman"/>
          <w:kern w:val="2"/>
          <w:sz w:val="24"/>
          <w:szCs w:val="24"/>
          <w14:ligatures w14:val="standardContextual"/>
        </w:rPr>
        <w:t xml:space="preserve">Universidad Autónoma de Guerrero </w:t>
      </w:r>
    </w:p>
    <w:p w14:paraId="7813938C" w14:textId="414D3E1C" w:rsidR="00626242" w:rsidRPr="00626242" w:rsidRDefault="00626242" w:rsidP="00626242">
      <w:pPr>
        <w:spacing w:after="0" w:line="240" w:lineRule="auto"/>
        <w:jc w:val="right"/>
        <w:rPr>
          <w:rFonts w:ascii="Times New Roman" w:eastAsia="Aptos" w:hAnsi="Times New Roman" w:cs="Times New Roman"/>
          <w:kern w:val="2"/>
          <w:sz w:val="24"/>
          <w:szCs w:val="24"/>
          <w14:ligatures w14:val="standardContextual"/>
        </w:rPr>
      </w:pPr>
      <w:hyperlink r:id="rId11" w:history="1">
        <w:r w:rsidRPr="00626242">
          <w:rPr>
            <w:rFonts w:ascii="Times New Roman" w:eastAsia="Aptos" w:hAnsi="Times New Roman" w:cs="Times New Roman"/>
            <w:color w:val="467886"/>
            <w:kern w:val="2"/>
            <w:sz w:val="24"/>
            <w:szCs w:val="24"/>
            <w:u w:val="single"/>
            <w14:ligatures w14:val="standardContextual"/>
          </w:rPr>
          <w:t>11290562@uagro.mx</w:t>
        </w:r>
      </w:hyperlink>
      <w:r w:rsidRPr="00626242">
        <w:rPr>
          <w:rFonts w:ascii="Times New Roman" w:eastAsia="Aptos" w:hAnsi="Times New Roman" w:cs="Times New Roman"/>
          <w:kern w:val="2"/>
          <w:sz w:val="24"/>
          <w:szCs w:val="24"/>
          <w14:ligatures w14:val="standardContextual"/>
        </w:rPr>
        <w:t xml:space="preserve"> </w:t>
      </w:r>
    </w:p>
    <w:p w14:paraId="22104D75" w14:textId="287C1A29" w:rsidR="00626242" w:rsidRPr="00626242" w:rsidRDefault="00626242" w:rsidP="00626242">
      <w:pPr>
        <w:spacing w:after="0" w:line="240" w:lineRule="auto"/>
        <w:jc w:val="right"/>
        <w:rPr>
          <w:rFonts w:ascii="Times New Roman" w:eastAsia="Aptos" w:hAnsi="Times New Roman" w:cs="Times New Roman"/>
          <w:kern w:val="2"/>
          <w:sz w:val="24"/>
          <w:szCs w:val="24"/>
          <w14:ligatures w14:val="standardContextual"/>
        </w:rPr>
      </w:pPr>
    </w:p>
    <w:p w14:paraId="6678550C" w14:textId="3D8368D8" w:rsidR="00626242" w:rsidRPr="00626242" w:rsidRDefault="00626242" w:rsidP="00626242">
      <w:pPr>
        <w:spacing w:line="360" w:lineRule="auto"/>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INTRODUCCIÓN.</w:t>
      </w:r>
    </w:p>
    <w:p w14:paraId="31639B81"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5517E27" w14:textId="77777777" w:rsidR="00626242" w:rsidRPr="00626242" w:rsidRDefault="00626242" w:rsidP="00626242">
      <w:pPr>
        <w:spacing w:line="360" w:lineRule="auto"/>
        <w:jc w:val="both"/>
        <w:rPr>
          <w:rFonts w:ascii="Aptos" w:eastAsia="Aptos" w:hAnsi="Aptos" w:cs="Times New Roman"/>
          <w:kern w:val="2"/>
          <w:sz w:val="24"/>
          <w:szCs w:val="24"/>
          <w:vertAlign w:val="superscript"/>
          <w:lang w:val="es-ES_tradnl"/>
          <w14:ligatures w14:val="standardContextual"/>
        </w:rPr>
      </w:pPr>
      <w:r w:rsidRPr="00626242">
        <w:rPr>
          <w:rFonts w:ascii="Aptos" w:eastAsia="Aptos" w:hAnsi="Aptos" w:cs="Times New Roman"/>
          <w:bCs/>
          <w:color w:val="000000"/>
          <w:kern w:val="2"/>
          <w:sz w:val="24"/>
          <w:szCs w:val="24"/>
          <w14:ligatures w14:val="standardContextual"/>
        </w:rPr>
        <w:t>El derecho ambiental contemporáneo enfrenta una crisis de pertinencia. Diseñado en una era de certezas científicas y límites estatales definidos, hoy se ve sobrepasado por la complejidad sistémica del Antropoceno: una época geológica en la que la actividad humana se ha convertido en la principal fuente de transformación del planeta</w:t>
      </w:r>
      <w:r w:rsidRPr="00626242">
        <w:rPr>
          <w:rFonts w:ascii="Aptos" w:eastAsia="Aptos" w:hAnsi="Aptos" w:cs="Times New Roman"/>
          <w:bCs/>
          <w:color w:val="000000"/>
          <w:kern w:val="2"/>
          <w:sz w:val="24"/>
          <w:szCs w:val="24"/>
          <w:vertAlign w:val="superscript"/>
          <w14:ligatures w14:val="standardContextual"/>
        </w:rPr>
        <w:footnoteReference w:id="2"/>
      </w:r>
      <w:r w:rsidRPr="00626242">
        <w:rPr>
          <w:rFonts w:ascii="Aptos" w:eastAsia="Aptos" w:hAnsi="Aptos" w:cs="Times New Roman"/>
          <w:bCs/>
          <w:color w:val="000000"/>
          <w:kern w:val="2"/>
          <w:sz w:val="24"/>
          <w:szCs w:val="24"/>
          <w14:ligatures w14:val="standardContextual"/>
        </w:rPr>
        <w:t xml:space="preserve">. En este contexto, los desafíos, llámese cambio climático acelerado, colapso de biodiversidad, contaminación digital y desigualdades ambientales, ya no responden a lógicas lineales ni a soluciones jurídicas estáticas. La autora Elizabeth Fisher contempla que el derecho tradicional opera </w:t>
      </w:r>
      <w:r w:rsidRPr="00626242">
        <w:rPr>
          <w:rFonts w:ascii="Aptos" w:eastAsia="Aptos" w:hAnsi="Aptos" w:cs="Times New Roman"/>
          <w:kern w:val="2"/>
          <w:sz w:val="24"/>
          <w:szCs w:val="24"/>
          <w:lang w:val="es-ES_tradnl"/>
          <w14:ligatures w14:val="standardContextual"/>
        </w:rPr>
        <w:t>como “una ilusión de control” dejando atrás la incertidumbre, la interdependencia y la temporalidad extendida propias de las crisis socio ecológicas actuales</w:t>
      </w:r>
      <w:r w:rsidRPr="00626242">
        <w:rPr>
          <w:rFonts w:ascii="Aptos" w:eastAsia="Aptos" w:hAnsi="Aptos" w:cs="Times New Roman"/>
          <w:kern w:val="2"/>
          <w:sz w:val="24"/>
          <w:szCs w:val="24"/>
          <w:vertAlign w:val="superscript"/>
          <w:lang w:val="es-ES_tradnl"/>
          <w14:ligatures w14:val="standardContextual"/>
        </w:rPr>
        <w:footnoteReference w:id="3"/>
      </w:r>
      <w:r w:rsidRPr="00626242">
        <w:rPr>
          <w:rFonts w:ascii="Aptos" w:eastAsia="Aptos" w:hAnsi="Aptos" w:cs="Times New Roman"/>
          <w:kern w:val="2"/>
          <w:sz w:val="24"/>
          <w:szCs w:val="24"/>
          <w:vertAlign w:val="superscript"/>
          <w:lang w:val="es-ES_tradnl"/>
          <w14:ligatures w14:val="standardContextual"/>
        </w:rPr>
        <w:t>.</w:t>
      </w:r>
    </w:p>
    <w:p w14:paraId="3261734A" w14:textId="77777777" w:rsidR="00626242" w:rsidRPr="00626242" w:rsidRDefault="00626242" w:rsidP="00626242">
      <w:pPr>
        <w:spacing w:after="0" w:line="240" w:lineRule="auto"/>
        <w:rPr>
          <w:rFonts w:ascii="Aptos" w:eastAsia="Aptos" w:hAnsi="Aptos" w:cs="Times New Roman"/>
          <w:kern w:val="2"/>
          <w:sz w:val="24"/>
          <w:szCs w:val="24"/>
          <w:lang w:val="es-ES_tradnl"/>
          <w14:ligatures w14:val="standardContextual"/>
        </w:rPr>
      </w:pPr>
    </w:p>
    <w:p w14:paraId="5F909E8B" w14:textId="77777777" w:rsidR="00626242" w:rsidRPr="00626242" w:rsidRDefault="00626242" w:rsidP="00626242">
      <w:pPr>
        <w:spacing w:line="360" w:lineRule="auto"/>
        <w:jc w:val="both"/>
        <w:rPr>
          <w:rFonts w:ascii="Aptos" w:eastAsia="Aptos" w:hAnsi="Aptos" w:cs="Times New Roman"/>
          <w:kern w:val="2"/>
          <w:sz w:val="24"/>
          <w:szCs w:val="24"/>
          <w:vertAlign w:val="superscript"/>
          <w:lang w:val="es-ES_tradnl"/>
          <w14:ligatures w14:val="standardContextual"/>
        </w:rPr>
      </w:pPr>
      <w:r w:rsidRPr="00626242">
        <w:rPr>
          <w:rFonts w:ascii="Aptos" w:eastAsia="Aptos" w:hAnsi="Aptos" w:cs="Times New Roman"/>
          <w:kern w:val="2"/>
          <w:sz w:val="24"/>
          <w:szCs w:val="24"/>
          <w:lang w:val="es-ES_tradnl"/>
          <w14:ligatures w14:val="standardContextual"/>
        </w:rPr>
        <w:t>Dada esta deficiencia, debemos revisar, en lugar de persistir en un sistema rígido, se debe transitar hacia un sistema legal que pueda convertirse en un sistema adaptativo que aprenda, se autorregule y</w:t>
      </w:r>
      <w:r w:rsidRPr="00626242">
        <w:rPr>
          <w:rFonts w:ascii="Aptos" w:eastAsia="Aptos" w:hAnsi="Aptos" w:cs="Times New Roman"/>
          <w:bCs/>
          <w:color w:val="000000"/>
          <w:kern w:val="2"/>
          <w:sz w:val="24"/>
          <w:szCs w:val="24"/>
          <w14:ligatures w14:val="standardContextual"/>
        </w:rPr>
        <w:t xml:space="preserve"> crezca junto con los ecosistemas que pretende proteger. Este es un movimiento que implica la inclusión de nuevas dimensiones: justicia social, gobernanza tecnológica y la dinámica entre medio ambiente y los entornos digitales. Donde se sugiere la noción de “derechos digitales ambientales”: es decir, un marco de compromisos para garantizar el acceso equitativo a la información ambiental, participar efectivamente en </w:t>
      </w:r>
      <w:r w:rsidRPr="00626242">
        <w:rPr>
          <w:rFonts w:ascii="Aptos" w:eastAsia="Aptos" w:hAnsi="Aptos" w:cs="Times New Roman"/>
          <w:bCs/>
          <w:color w:val="000000"/>
          <w:kern w:val="2"/>
          <w:sz w:val="24"/>
          <w:szCs w:val="24"/>
          <w14:ligatures w14:val="standardContextual"/>
        </w:rPr>
        <w:lastRenderedPageBreak/>
        <w:t xml:space="preserve">decisiones ecológicas a través de tecnologías y utilizar algoritmos que no influyan categóricamente en </w:t>
      </w:r>
      <w:r w:rsidRPr="00626242">
        <w:rPr>
          <w:rFonts w:ascii="Aptos" w:eastAsia="Aptos" w:hAnsi="Aptos" w:cs="Times New Roman"/>
          <w:kern w:val="2"/>
          <w:sz w:val="24"/>
          <w:szCs w:val="24"/>
          <w:lang w:val="es-ES_tradnl"/>
          <w14:ligatures w14:val="standardContextual"/>
        </w:rPr>
        <w:t>el desarrollo y operación de políticas sostenibles</w:t>
      </w:r>
      <w:r w:rsidRPr="00626242">
        <w:rPr>
          <w:rFonts w:ascii="Aptos" w:eastAsia="Aptos" w:hAnsi="Aptos" w:cs="Times New Roman"/>
          <w:kern w:val="2"/>
          <w:sz w:val="24"/>
          <w:szCs w:val="24"/>
          <w:vertAlign w:val="superscript"/>
          <w:lang w:val="es-ES_tradnl"/>
          <w14:ligatures w14:val="standardContextual"/>
        </w:rPr>
        <w:footnoteReference w:id="4"/>
      </w:r>
      <w:r w:rsidRPr="00626242">
        <w:rPr>
          <w:rFonts w:ascii="Aptos" w:eastAsia="Aptos" w:hAnsi="Aptos" w:cs="Times New Roman"/>
          <w:kern w:val="2"/>
          <w:sz w:val="24"/>
          <w:szCs w:val="24"/>
          <w:vertAlign w:val="superscript"/>
          <w:lang w:val="es-ES_tradnl"/>
          <w14:ligatures w14:val="standardContextual"/>
        </w:rPr>
        <w:t>.</w:t>
      </w:r>
    </w:p>
    <w:p w14:paraId="4A1F3155" w14:textId="77777777" w:rsidR="00626242" w:rsidRPr="00626242" w:rsidRDefault="00626242" w:rsidP="00626242">
      <w:pPr>
        <w:spacing w:after="0" w:line="240" w:lineRule="auto"/>
        <w:rPr>
          <w:rFonts w:ascii="Aptos" w:eastAsia="Aptos" w:hAnsi="Aptos" w:cs="Times New Roman"/>
          <w:kern w:val="2"/>
          <w:sz w:val="24"/>
          <w:szCs w:val="24"/>
          <w:lang w:val="es-ES_tradnl"/>
          <w14:ligatures w14:val="standardContextual"/>
        </w:rPr>
      </w:pPr>
    </w:p>
    <w:p w14:paraId="29B466DE"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kern w:val="2"/>
          <w:sz w:val="24"/>
          <w:szCs w:val="24"/>
          <w:lang w:val="es-ES_tradnl"/>
          <w14:ligatures w14:val="standardContextual"/>
        </w:rPr>
        <w:t>El presente</w:t>
      </w:r>
      <w:r w:rsidRPr="00626242">
        <w:rPr>
          <w:rFonts w:ascii="Aptos" w:eastAsia="Aptos" w:hAnsi="Aptos" w:cs="Times New Roman"/>
          <w:bCs/>
          <w:color w:val="000000"/>
          <w:kern w:val="2"/>
          <w:sz w:val="24"/>
          <w:szCs w:val="24"/>
          <w14:ligatures w14:val="standardContextual"/>
        </w:rPr>
        <w:t xml:space="preserve"> artículo explora dicha categoría como una propuesta normativa innovadora a los desafíos del Antropoceno. Es decir, el concepto no solo pretende reconocer estos derechos en la práctica emergente, sino también anclarlos teóricamente en un marco legal en transformación. Como tal, busca ayudar a una reconceptualización del derecho ambiental, no como un sistema cerrado de reglas, sino como un ecosistema normativo dinámico que puede regenerarse en medio de la incertidumbre planetaria, mediante el cual podemos comprender mejor el mundo hoy.</w:t>
      </w:r>
    </w:p>
    <w:p w14:paraId="08DB1616"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7EB0FC0"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Este artículo está estructurado en cinco secciones complementarias. Tras esta introducción, la segunda sección explora las transformaciones conceptuales y normativas impuestas por el Antropoceno sobre el derecho ambiental tradicional, destacando su crisis de representación y relevancia. </w:t>
      </w:r>
    </w:p>
    <w:p w14:paraId="6FC816B5"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A1C156A"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La tercera sección propone una reconfiguración del derecho como un sistema adaptativo, capaz de aprender, autorregularse e integrar conocimientos no jurídicos frente a la incertidumbre sistémica. </w:t>
      </w:r>
    </w:p>
    <w:p w14:paraId="526E607E"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F78AB92"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La cuarta sección introduce y desarrolla la categoría emergente de derechos ambientales digitales, desglosada en tres ejes centrales: acceso equitativo a la información ambiental digital, participación mediada tecnológicamente y protección contra la discriminación algorítmica. </w:t>
      </w:r>
    </w:p>
    <w:p w14:paraId="035AEC2A"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222BEEE"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lastRenderedPageBreak/>
        <w:t>La quinta sección analiza las implicaciones institucionales y jurisprudenciales de esta propuesta, con especial énfasis en el papel de los tribunales y la necesidad de un institucionalismo híbrido. Finalmente, las conclusiones sintetizan las contribuciones teóricas y normativas del texto, enfatizando la urgencia de un derecho ambiental regenerativo, inclusivo y digitalmente competente para tejer futuros habitables en la era del Antropoceno.</w:t>
      </w:r>
    </w:p>
    <w:p w14:paraId="1A0388BB"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4A1205D" w14:textId="77777777" w:rsidR="00626242" w:rsidRPr="00626242" w:rsidRDefault="00626242" w:rsidP="00626242">
      <w:pPr>
        <w:numPr>
          <w:ilvl w:val="0"/>
          <w:numId w:val="11"/>
        </w:numPr>
        <w:spacing w:after="0" w:line="360" w:lineRule="auto"/>
        <w:contextualSpacing/>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Derecho ambiental en el Antropoceno</w:t>
      </w:r>
    </w:p>
    <w:p w14:paraId="04634CA2" w14:textId="77777777" w:rsidR="00626242" w:rsidRPr="00626242" w:rsidRDefault="00626242" w:rsidP="00626242">
      <w:pPr>
        <w:spacing w:line="360" w:lineRule="auto"/>
        <w:jc w:val="both"/>
        <w:rPr>
          <w:rFonts w:ascii="Aptos" w:eastAsia="Aptos" w:hAnsi="Aptos" w:cs="Times New Roman"/>
          <w:kern w:val="2"/>
          <w:sz w:val="24"/>
          <w:szCs w:val="24"/>
          <w:lang w:val="es-ES_tradnl"/>
          <w14:ligatures w14:val="standardContextual"/>
        </w:rPr>
      </w:pPr>
      <w:r w:rsidRPr="00626242">
        <w:rPr>
          <w:rFonts w:ascii="Aptos" w:eastAsia="Aptos" w:hAnsi="Aptos" w:cs="Times New Roman"/>
          <w:bCs/>
          <w:color w:val="000000"/>
          <w:kern w:val="2"/>
          <w:sz w:val="24"/>
          <w:szCs w:val="24"/>
          <w14:ligatures w14:val="standardContextual"/>
        </w:rPr>
        <w:t xml:space="preserve">La idea del Antropoceno, originalmente formulada por Paul Crutzen y Eugene Stoermer a principios del siglo XXI, se ha arraigado tan profundamente en el horizonte de la comprensión que ya no se limita a los ámbitos de las ciencias de la Tierra, sino que se ha convertido en un telón de fondo teórico esencial para las ciencias sociales, entre ellas el </w:t>
      </w:r>
      <w:r w:rsidRPr="00626242">
        <w:rPr>
          <w:rFonts w:ascii="Aptos" w:eastAsia="Aptos" w:hAnsi="Aptos" w:cs="Times New Roman"/>
          <w:kern w:val="2"/>
          <w:sz w:val="24"/>
          <w:szCs w:val="24"/>
          <w:lang w:val="es-ES_tradnl"/>
          <w14:ligatures w14:val="standardContextual"/>
        </w:rPr>
        <w:t>derecho</w:t>
      </w:r>
      <w:r w:rsidRPr="00626242">
        <w:rPr>
          <w:rFonts w:ascii="Aptos" w:eastAsia="Aptos" w:hAnsi="Aptos" w:cs="Times New Roman"/>
          <w:kern w:val="2"/>
          <w:sz w:val="24"/>
          <w:szCs w:val="24"/>
          <w:vertAlign w:val="superscript"/>
          <w:lang w:val="es-ES_tradnl"/>
          <w14:ligatures w14:val="standardContextual"/>
        </w:rPr>
        <w:footnoteReference w:id="5"/>
      </w:r>
      <w:r w:rsidRPr="00626242">
        <w:rPr>
          <w:rFonts w:ascii="Aptos" w:eastAsia="Aptos" w:hAnsi="Aptos" w:cs="Times New Roman"/>
          <w:kern w:val="2"/>
          <w:sz w:val="24"/>
          <w:szCs w:val="24"/>
          <w:lang w:val="es-ES_tradnl"/>
          <w14:ligatures w14:val="standardContextual"/>
        </w:rPr>
        <w:t xml:space="preserve">. </w:t>
      </w:r>
    </w:p>
    <w:p w14:paraId="707F82D8" w14:textId="77777777" w:rsidR="00626242" w:rsidRPr="00626242" w:rsidRDefault="00626242" w:rsidP="00626242">
      <w:pPr>
        <w:spacing w:after="0" w:line="240" w:lineRule="auto"/>
        <w:rPr>
          <w:rFonts w:ascii="Aptos" w:eastAsia="Aptos" w:hAnsi="Aptos" w:cs="Times New Roman"/>
          <w:kern w:val="2"/>
          <w:sz w:val="24"/>
          <w:szCs w:val="24"/>
          <w:lang w:val="es-ES_tradnl"/>
          <w14:ligatures w14:val="standardContextual"/>
        </w:rPr>
      </w:pPr>
    </w:p>
    <w:p w14:paraId="66CB87CF" w14:textId="77777777" w:rsidR="00626242" w:rsidRPr="00626242" w:rsidRDefault="00626242" w:rsidP="00626242">
      <w:pPr>
        <w:spacing w:line="360" w:lineRule="auto"/>
        <w:jc w:val="both"/>
        <w:rPr>
          <w:rFonts w:ascii="Aptos" w:eastAsia="Aptos" w:hAnsi="Aptos" w:cs="Times New Roman"/>
          <w:kern w:val="2"/>
          <w:sz w:val="24"/>
          <w:szCs w:val="24"/>
          <w:lang w:val="es-ES_tradnl"/>
          <w14:ligatures w14:val="standardContextual"/>
        </w:rPr>
      </w:pPr>
      <w:r w:rsidRPr="00626242">
        <w:rPr>
          <w:rFonts w:ascii="Aptos" w:eastAsia="Aptos" w:hAnsi="Aptos" w:cs="Times New Roman"/>
          <w:kern w:val="2"/>
          <w:sz w:val="24"/>
          <w:szCs w:val="24"/>
          <w:lang w:val="es-ES_tradnl"/>
          <w14:ligatures w14:val="standardContextual"/>
        </w:rPr>
        <w:t xml:space="preserve">Denota una </w:t>
      </w:r>
      <w:r w:rsidRPr="00626242">
        <w:rPr>
          <w:rFonts w:ascii="Aptos" w:eastAsia="Aptos" w:hAnsi="Aptos" w:cs="Times New Roman"/>
          <w:bCs/>
          <w:color w:val="000000"/>
          <w:kern w:val="2"/>
          <w:sz w:val="24"/>
          <w:szCs w:val="24"/>
          <w14:ligatures w14:val="standardContextual"/>
        </w:rPr>
        <w:t xml:space="preserve">época geológica en la especie humana, de manera especial desde la Revolución Industrial ha alternado de forma irreversible los ciclos biogeoquímicos del planeta. Sus raíces se encuentran tanto en la antropología como en el estudio cambio climático. Significa una nueva era geológica en la que la humanidad, particularmente la raza humana desde la Revolución Industrial, ha devastado los </w:t>
      </w:r>
      <w:r w:rsidRPr="00626242">
        <w:rPr>
          <w:rFonts w:ascii="Aptos" w:eastAsia="Aptos" w:hAnsi="Aptos" w:cs="Times New Roman"/>
          <w:kern w:val="2"/>
          <w:sz w:val="24"/>
          <w:szCs w:val="24"/>
          <w:lang w:val="es-ES_tradnl"/>
          <w14:ligatures w14:val="standardContextual"/>
        </w:rPr>
        <w:t xml:space="preserve">ciclos biogeoquímicos de la Tierra, no solo el clima, el nitrógeno sino también los océanos. </w:t>
      </w:r>
    </w:p>
    <w:p w14:paraId="29260D42" w14:textId="77777777" w:rsidR="00626242" w:rsidRPr="00626242" w:rsidRDefault="00626242" w:rsidP="00626242">
      <w:pPr>
        <w:spacing w:after="0" w:line="240" w:lineRule="auto"/>
        <w:rPr>
          <w:rFonts w:ascii="Aptos" w:eastAsia="Aptos" w:hAnsi="Aptos" w:cs="Times New Roman"/>
          <w:kern w:val="2"/>
          <w:sz w:val="24"/>
          <w:szCs w:val="24"/>
          <w:lang w:val="es-ES_tradnl"/>
          <w14:ligatures w14:val="standardContextual"/>
        </w:rPr>
      </w:pPr>
    </w:p>
    <w:p w14:paraId="33D75686" w14:textId="77777777" w:rsidR="00626242" w:rsidRPr="00626242" w:rsidRDefault="00626242" w:rsidP="00626242">
      <w:pPr>
        <w:spacing w:line="360" w:lineRule="auto"/>
        <w:jc w:val="both"/>
        <w:rPr>
          <w:rFonts w:ascii="Aptos" w:eastAsia="Aptos" w:hAnsi="Aptos" w:cs="Times New Roman"/>
          <w:kern w:val="2"/>
          <w:sz w:val="24"/>
          <w:szCs w:val="24"/>
          <w:lang w:val="es-ES_tradnl"/>
          <w14:ligatures w14:val="standardContextual"/>
        </w:rPr>
      </w:pPr>
      <w:r w:rsidRPr="00626242">
        <w:rPr>
          <w:rFonts w:ascii="Aptos" w:eastAsia="Aptos" w:hAnsi="Aptos" w:cs="Times New Roman"/>
          <w:kern w:val="2"/>
          <w:sz w:val="24"/>
          <w:szCs w:val="24"/>
          <w:lang w:val="es-ES_tradnl"/>
          <w14:ligatures w14:val="standardContextual"/>
        </w:rPr>
        <w:t xml:space="preserve">Esta transformación no es únicamente ecológica; es poderosamente jurídica. Según Frank </w:t>
      </w:r>
      <w:proofErr w:type="spellStart"/>
      <w:r w:rsidRPr="00626242">
        <w:rPr>
          <w:rFonts w:ascii="Aptos" w:eastAsia="Aptos" w:hAnsi="Aptos" w:cs="Times New Roman"/>
          <w:kern w:val="2"/>
          <w:sz w:val="24"/>
          <w:szCs w:val="24"/>
          <w:lang w:val="es-ES_tradnl"/>
          <w14:ligatures w14:val="standardContextual"/>
        </w:rPr>
        <w:t>Biermann</w:t>
      </w:r>
      <w:proofErr w:type="spellEnd"/>
      <w:r w:rsidRPr="00626242">
        <w:rPr>
          <w:rFonts w:ascii="Aptos" w:eastAsia="Aptos" w:hAnsi="Aptos" w:cs="Times New Roman"/>
          <w:kern w:val="2"/>
          <w:sz w:val="24"/>
          <w:szCs w:val="24"/>
          <w:lang w:val="es-ES_tradnl"/>
          <w14:ligatures w14:val="standardContextual"/>
        </w:rPr>
        <w:t xml:space="preserve">, el Antropoceno requiere "una nueva gramática de gobernanza global", una que reconozca la implicación mutua de la humanidad en sus sistemas terrestres y, con ello, exija un mayor grado de responsabilidad legal espacial y temporal. En este nuevo contexto, el </w:t>
      </w:r>
      <w:r w:rsidRPr="00626242">
        <w:rPr>
          <w:rFonts w:ascii="Aptos" w:eastAsia="Aptos" w:hAnsi="Aptos" w:cs="Times New Roman"/>
          <w:kern w:val="2"/>
          <w:sz w:val="24"/>
          <w:szCs w:val="24"/>
          <w:lang w:val="es-ES_tradnl"/>
          <w14:ligatures w14:val="standardContextual"/>
        </w:rPr>
        <w:lastRenderedPageBreak/>
        <w:t>derecho ambiental clásico basado en la prevención, mitigación y restauración revela sus deficiencias estructurales</w:t>
      </w:r>
      <w:r w:rsidRPr="00626242">
        <w:rPr>
          <w:rFonts w:ascii="Aptos" w:eastAsia="Aptos" w:hAnsi="Aptos" w:cs="Times New Roman"/>
          <w:kern w:val="2"/>
          <w:sz w:val="24"/>
          <w:szCs w:val="24"/>
          <w:vertAlign w:val="superscript"/>
          <w:lang w:val="es-ES_tradnl"/>
          <w14:ligatures w14:val="standardContextual"/>
        </w:rPr>
        <w:footnoteReference w:id="6"/>
      </w:r>
      <w:r w:rsidRPr="00626242">
        <w:rPr>
          <w:rFonts w:ascii="Aptos" w:eastAsia="Aptos" w:hAnsi="Aptos" w:cs="Times New Roman"/>
          <w:kern w:val="2"/>
          <w:sz w:val="24"/>
          <w:szCs w:val="24"/>
          <w:lang w:val="es-ES_tradnl"/>
          <w14:ligatures w14:val="standardContextual"/>
        </w:rPr>
        <w:t xml:space="preserve">. </w:t>
      </w:r>
    </w:p>
    <w:p w14:paraId="671F1956" w14:textId="77777777" w:rsidR="00626242" w:rsidRPr="00626242" w:rsidRDefault="00626242" w:rsidP="00626242">
      <w:pPr>
        <w:spacing w:after="0" w:line="240" w:lineRule="auto"/>
        <w:rPr>
          <w:rFonts w:ascii="Aptos" w:eastAsia="Aptos" w:hAnsi="Aptos" w:cs="Times New Roman"/>
          <w:kern w:val="2"/>
          <w:sz w:val="24"/>
          <w:szCs w:val="24"/>
          <w:lang w:val="es-ES_tradnl"/>
          <w14:ligatures w14:val="standardContextual"/>
        </w:rPr>
      </w:pPr>
    </w:p>
    <w:p w14:paraId="2F1BDD19" w14:textId="77777777" w:rsidR="00626242" w:rsidRPr="00626242" w:rsidRDefault="00626242" w:rsidP="00626242">
      <w:pPr>
        <w:spacing w:line="360" w:lineRule="auto"/>
        <w:jc w:val="both"/>
        <w:rPr>
          <w:rFonts w:ascii="Aptos" w:eastAsia="Aptos" w:hAnsi="Aptos" w:cs="Times New Roman"/>
          <w:kern w:val="2"/>
          <w:sz w:val="24"/>
          <w:szCs w:val="24"/>
          <w:lang w:val="es-ES_tradnl"/>
          <w14:ligatures w14:val="standardContextual"/>
        </w:rPr>
      </w:pPr>
      <w:r w:rsidRPr="00626242">
        <w:rPr>
          <w:rFonts w:ascii="Aptos" w:eastAsia="Aptos" w:hAnsi="Aptos" w:cs="Times New Roman"/>
          <w:kern w:val="2"/>
          <w:sz w:val="24"/>
          <w:szCs w:val="24"/>
          <w:lang w:val="es-ES_tradnl"/>
          <w14:ligatures w14:val="standardContextual"/>
        </w:rPr>
        <w:t xml:space="preserve">El enfoque reactivo, antropocéntrico y fragmentado ignora las retroalimentaciones sistémicas, los puntos de inflexión y las responsabilidades intergeneracionales. El sistema legal, tal como está concebido, cuyo objetivo es mediar confrontaciones entre sujetos humanos, no puede representar adecuadamente los intereses de los ecosistemas, las especies no humanas ni las generaciones futuras. </w:t>
      </w:r>
    </w:p>
    <w:p w14:paraId="5AFDCE4A" w14:textId="77777777" w:rsidR="00626242" w:rsidRPr="00626242" w:rsidRDefault="00626242" w:rsidP="00626242">
      <w:pPr>
        <w:spacing w:after="0" w:line="240" w:lineRule="auto"/>
        <w:rPr>
          <w:rFonts w:ascii="Aptos" w:eastAsia="Aptos" w:hAnsi="Aptos" w:cs="Times New Roman"/>
          <w:kern w:val="2"/>
          <w:sz w:val="24"/>
          <w:szCs w:val="24"/>
          <w:lang w:val="es-ES_tradnl"/>
          <w14:ligatures w14:val="standardContextual"/>
        </w:rPr>
      </w:pPr>
    </w:p>
    <w:p w14:paraId="55DFCE4A"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kern w:val="2"/>
          <w:sz w:val="24"/>
          <w:szCs w:val="24"/>
          <w:lang w:val="es-ES_tradnl"/>
          <w14:ligatures w14:val="standardContextual"/>
        </w:rPr>
        <w:t>Esta crisis de representación ha dado lugar a propuestas radicales, como los derechos</w:t>
      </w:r>
      <w:r w:rsidRPr="00626242">
        <w:rPr>
          <w:rFonts w:ascii="Aptos" w:eastAsia="Aptos" w:hAnsi="Aptos" w:cs="Times New Roman"/>
          <w:bCs/>
          <w:color w:val="000000"/>
          <w:kern w:val="2"/>
          <w:sz w:val="24"/>
          <w:szCs w:val="24"/>
          <w14:ligatures w14:val="standardContextual"/>
        </w:rPr>
        <w:t xml:space="preserve"> de la naturaleza consagrados en constituciones tan diversas como las de Ecuador y Bolivia, cuyo propósito es poner fin a la mercantilización del medio ambiente</w:t>
      </w:r>
      <w:r w:rsidRPr="00626242">
        <w:rPr>
          <w:rFonts w:ascii="Aptos" w:eastAsia="Aptos" w:hAnsi="Aptos" w:cs="Times New Roman"/>
          <w:bCs/>
          <w:color w:val="000000"/>
          <w:kern w:val="2"/>
          <w:sz w:val="24"/>
          <w:szCs w:val="24"/>
          <w:vertAlign w:val="superscript"/>
          <w14:ligatures w14:val="standardContextual"/>
        </w:rPr>
        <w:footnoteReference w:id="7"/>
      </w:r>
      <w:r w:rsidRPr="00626242">
        <w:rPr>
          <w:rFonts w:ascii="Aptos" w:eastAsia="Aptos" w:hAnsi="Aptos" w:cs="Times New Roman"/>
          <w:bCs/>
          <w:color w:val="000000"/>
          <w:kern w:val="2"/>
          <w:sz w:val="24"/>
          <w:szCs w:val="24"/>
          <w14:ligatures w14:val="standardContextual"/>
        </w:rPr>
        <w:t xml:space="preserve">. No obstante, incluso estos avances tienen sus límites cuando no se articulan con los nuevos actores y fuerzas del Antropoceno: corporaciones transnacionales, flujos de datos, inteligencia artificial e infraestructuras digitales que median nuestra relación con lo ecológico. </w:t>
      </w:r>
    </w:p>
    <w:p w14:paraId="05F9CBD2"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B0CF015" w14:textId="77777777" w:rsidR="00626242" w:rsidRPr="00626242" w:rsidRDefault="00626242" w:rsidP="00626242">
      <w:pPr>
        <w:spacing w:line="360" w:lineRule="auto"/>
        <w:jc w:val="both"/>
        <w:rPr>
          <w:rFonts w:ascii="Aptos" w:eastAsia="Aptos" w:hAnsi="Aptos" w:cs="Times New Roman"/>
          <w:bCs/>
          <w:color w:val="000000"/>
          <w:kern w:val="2"/>
          <w:sz w:val="24"/>
          <w:szCs w:val="24"/>
          <w:vertAlign w:val="superscript"/>
          <w14:ligatures w14:val="standardContextual"/>
        </w:rPr>
      </w:pPr>
      <w:r w:rsidRPr="00626242">
        <w:rPr>
          <w:rFonts w:ascii="Aptos" w:eastAsia="Aptos" w:hAnsi="Aptos" w:cs="Times New Roman"/>
          <w:bCs/>
          <w:color w:val="000000"/>
          <w:kern w:val="2"/>
          <w:sz w:val="24"/>
          <w:szCs w:val="24"/>
          <w14:ligatures w14:val="standardContextual"/>
        </w:rPr>
        <w:t xml:space="preserve">Por lo tanto, el derecho ambiental en el Antropoceno ya no puede permanecer en la ilusión de la neutralidad tecnológica, sino que debe asumir plenamente su carácter político, plurinacional y multisistémico. Así, no se trata únicamente de proteger un “medio ambiente externo”, sino también de reformular las relaciones de poder que determinan quién controla, quién paga y quién se beneficia de las transformaciones planetarias. Como sugiere la Comisión Internacional sobre el Futuro de la Alimentación y la Agricultura, “la justicia </w:t>
      </w:r>
      <w:r w:rsidRPr="00626242">
        <w:rPr>
          <w:rFonts w:ascii="Aptos" w:eastAsia="Aptos" w:hAnsi="Aptos" w:cs="Times New Roman"/>
          <w:bCs/>
          <w:color w:val="000000"/>
          <w:kern w:val="2"/>
          <w:sz w:val="24"/>
          <w:szCs w:val="24"/>
          <w14:ligatures w14:val="standardContextual"/>
        </w:rPr>
        <w:lastRenderedPageBreak/>
        <w:t>ambiental en el Antropoceno es inseparable de la justicia cognitiva, tecnológica y epistémica”</w:t>
      </w:r>
      <w:r w:rsidRPr="00626242">
        <w:rPr>
          <w:rFonts w:ascii="Aptos" w:eastAsia="Aptos" w:hAnsi="Aptos" w:cs="Times New Roman"/>
          <w:kern w:val="2"/>
          <w:sz w:val="24"/>
          <w:szCs w:val="24"/>
          <w:vertAlign w:val="superscript"/>
          <w14:ligatures w14:val="standardContextual"/>
        </w:rPr>
        <w:footnoteReference w:id="8"/>
      </w:r>
      <w:r w:rsidRPr="00626242">
        <w:rPr>
          <w:rFonts w:ascii="Aptos" w:eastAsia="Aptos" w:hAnsi="Aptos" w:cs="Times New Roman"/>
          <w:bCs/>
          <w:color w:val="000000"/>
          <w:kern w:val="2"/>
          <w:sz w:val="24"/>
          <w:szCs w:val="24"/>
          <w:vertAlign w:val="superscript"/>
          <w14:ligatures w14:val="standardContextual"/>
        </w:rPr>
        <w:t>.</w:t>
      </w:r>
    </w:p>
    <w:p w14:paraId="1A6349B2"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E0EF300"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En este contexto, marcado por la incertidumbre radical y de responsabilidad colectiva, el sistema legal tampoco puede permanecer estático. Necesita mecanismos que le permitan aprender, adaptarse y regenerarse; es decir, funcionar como un sistema complejo y abierto. Así es como el sistema adaptativo se convierte en un concepto normativo.</w:t>
      </w:r>
    </w:p>
    <w:p w14:paraId="2FE40821" w14:textId="77777777" w:rsidR="00626242" w:rsidRDefault="00626242" w:rsidP="00626242">
      <w:pPr>
        <w:spacing w:after="0" w:line="240" w:lineRule="auto"/>
        <w:rPr>
          <w:rFonts w:ascii="Aptos" w:eastAsia="Aptos" w:hAnsi="Aptos" w:cs="Times New Roman"/>
          <w:kern w:val="2"/>
          <w:sz w:val="24"/>
          <w:szCs w:val="24"/>
          <w14:ligatures w14:val="standardContextual"/>
        </w:rPr>
      </w:pPr>
    </w:p>
    <w:p w14:paraId="5A18AA89"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7F532DB8" w14:textId="77777777" w:rsidR="00626242" w:rsidRPr="00626242" w:rsidRDefault="00626242" w:rsidP="00626242">
      <w:pPr>
        <w:spacing w:line="360" w:lineRule="auto"/>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3. El derecho como sistema adaptativo</w:t>
      </w:r>
    </w:p>
    <w:p w14:paraId="350DF7E3"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Dada la incertidumbre estructural del Antropoceno, el derecho ambiental debe abandonar su pretensión de estabilidad absoluta y adaptarse a la complejidad sistémica. En lugar de concebirse como un conjunto fijo de reglas jerárquicas, el sistema legal debe entenderse como un sistema adaptativo: uno en el que pueda autorregularse, aprender de su entorno y respondera las perturbaciones ecológicas, sociales y tecnológicas. </w:t>
      </w:r>
    </w:p>
    <w:p w14:paraId="73EB85AB"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2D73F8E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Este enfoque se inspira en la teoría de los sistemas complejos y la ecología de los sistemas, donde la resiliencia (no la rigidez) constituye la condición para la supervivencia. Aplicado al derecho, esto implica que las normas no existen de forma aislada, sino que están constantemente comprometidas con nuevos conocimientos científicos, movimientos sociales, tecnologías disruptivas y transformaciones en los  ecosistemas.</w:t>
      </w:r>
      <w:r w:rsidRPr="00626242">
        <w:rPr>
          <w:rFonts w:ascii="Aptos" w:eastAsia="Aptos" w:hAnsi="Aptos" w:cs="Times New Roman"/>
          <w:bCs/>
          <w:color w:val="000000"/>
          <w:kern w:val="2"/>
          <w:sz w:val="24"/>
          <w:szCs w:val="24"/>
          <w:vertAlign w:val="superscript"/>
          <w14:ligatures w14:val="standardContextual"/>
        </w:rPr>
        <w:footnoteReference w:id="9"/>
      </w:r>
      <w:r w:rsidRPr="00626242">
        <w:rPr>
          <w:rFonts w:ascii="Aptos" w:eastAsia="Aptos" w:hAnsi="Aptos" w:cs="Times New Roman"/>
          <w:bCs/>
          <w:color w:val="000000"/>
          <w:kern w:val="2"/>
          <w:sz w:val="24"/>
          <w:szCs w:val="24"/>
          <w14:ligatures w14:val="standardContextual"/>
        </w:rPr>
        <w:t xml:space="preserve"> Por ejemplo, al examinar la gestión adaptativa, considere la gestión del agua en las cuencas transfronterizas de Estados Unidos y Canadá, donde los acuerdos legales se actualizan periódicamente </w:t>
      </w:r>
      <w:r w:rsidRPr="00626242">
        <w:rPr>
          <w:rFonts w:ascii="Aptos" w:eastAsia="Aptos" w:hAnsi="Aptos" w:cs="Times New Roman"/>
          <w:bCs/>
          <w:color w:val="000000"/>
          <w:kern w:val="2"/>
          <w:sz w:val="24"/>
          <w:szCs w:val="24"/>
          <w14:ligatures w14:val="standardContextual"/>
        </w:rPr>
        <w:lastRenderedPageBreak/>
        <w:t>según los datos científicos actualizados y la retroalimentación de las comunidades afectadas</w:t>
      </w:r>
      <w:r w:rsidRPr="00626242">
        <w:rPr>
          <w:rFonts w:ascii="Aptos" w:eastAsia="Aptos" w:hAnsi="Aptos" w:cs="Times New Roman"/>
          <w:bCs/>
          <w:color w:val="000000"/>
          <w:kern w:val="2"/>
          <w:sz w:val="24"/>
          <w:szCs w:val="24"/>
          <w:vertAlign w:val="superscript"/>
          <w14:ligatures w14:val="standardContextual"/>
        </w:rPr>
        <w:footnoteReference w:id="10"/>
      </w:r>
      <w:r w:rsidRPr="00626242">
        <w:rPr>
          <w:rFonts w:ascii="Aptos" w:eastAsia="Aptos" w:hAnsi="Aptos" w:cs="Times New Roman"/>
          <w:bCs/>
          <w:color w:val="000000"/>
          <w:kern w:val="2"/>
          <w:sz w:val="24"/>
          <w:szCs w:val="24"/>
          <w14:ligatures w14:val="standardContextual"/>
        </w:rPr>
        <w:t xml:space="preserve">. </w:t>
      </w:r>
    </w:p>
    <w:p w14:paraId="552021C3"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4CBC1500"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Es este modelo se opone diametralmente a la visión legal tradicional del derecho, fuertemente influenciada por la teoría de Niklas Luhmann, donde el derecho se concibe como un subsistema autorreferencial, cerrado a influencias externas.</w:t>
      </w:r>
      <w:r w:rsidRPr="00626242">
        <w:rPr>
          <w:rFonts w:ascii="Aptos" w:eastAsia="Aptos" w:hAnsi="Aptos" w:cs="Times New Roman"/>
          <w:bCs/>
          <w:color w:val="000000"/>
          <w:kern w:val="2"/>
          <w:sz w:val="24"/>
          <w:szCs w:val="24"/>
          <w:vertAlign w:val="superscript"/>
          <w14:ligatures w14:val="standardContextual"/>
        </w:rPr>
        <w:footnoteReference w:id="11"/>
      </w:r>
      <w:r w:rsidRPr="00626242">
        <w:rPr>
          <w:rFonts w:ascii="Aptos" w:eastAsia="Aptos" w:hAnsi="Aptos" w:cs="Times New Roman"/>
          <w:bCs/>
          <w:color w:val="000000"/>
          <w:kern w:val="2"/>
          <w:sz w:val="24"/>
          <w:szCs w:val="24"/>
          <w14:ligatures w14:val="standardContextual"/>
        </w:rPr>
        <w:t xml:space="preserve"> Si bien esta perspectiva resulta útil para explicar la autonomía funcional del derecho, resulta  insuficiente en contextos de crisis sistémica, donde la preservación del sistema social depende precisamente de su capacidad para integrar saberes no jurídicos,-científicos, indígenas, técnicos- en su funcionamiento normativo. </w:t>
      </w:r>
    </w:p>
    <w:p w14:paraId="667E6EB3"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En América Latina, este cambio adaptativo se alinea con enfoques como la justicia ambiental relacional, que enfatiza la interdependencia de humanos, no humanos y territorios. En este marco, el derecho no se impone desde fuera, sino que emerge como una co-construcción que debe ajustarse dinámicamente a las realidades locales y globales del Antropoceno</w:t>
      </w:r>
      <w:r w:rsidRPr="00626242">
        <w:rPr>
          <w:rFonts w:ascii="Aptos" w:eastAsia="Aptos" w:hAnsi="Aptos" w:cs="Times New Roman"/>
          <w:bCs/>
          <w:color w:val="000000"/>
          <w:kern w:val="2"/>
          <w:sz w:val="24"/>
          <w:szCs w:val="24"/>
          <w:vertAlign w:val="superscript"/>
          <w14:ligatures w14:val="standardContextual"/>
        </w:rPr>
        <w:footnoteReference w:id="12"/>
      </w:r>
      <w:r w:rsidRPr="00626242">
        <w:rPr>
          <w:rFonts w:ascii="Aptos" w:eastAsia="Aptos" w:hAnsi="Aptos" w:cs="Times New Roman"/>
          <w:bCs/>
          <w:color w:val="000000"/>
          <w:kern w:val="2"/>
          <w:sz w:val="24"/>
          <w:szCs w:val="24"/>
          <w14:ligatures w14:val="standardContextual"/>
        </w:rPr>
        <w:t xml:space="preserve">. Por tanto, la adaptación no constituye una deficiencia normativa, sino una virtud epistémica y ética: el reconocimiento de la ignorancia estructural, frente a la complejidad, y la apertura de canales para la corrección colectiva. </w:t>
      </w:r>
    </w:p>
    <w:p w14:paraId="1B69B0BB"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40ADB86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Es en este contexto sistémico y flexible donde adquieren pleno sentido los derechos digitales ambientales. Estos no deben interpretarse meramente como complementos tecnológicos, </w:t>
      </w:r>
      <w:r w:rsidRPr="00626242">
        <w:rPr>
          <w:rFonts w:ascii="Aptos" w:eastAsia="Aptos" w:hAnsi="Aptos" w:cs="Times New Roman"/>
          <w:bCs/>
          <w:color w:val="000000"/>
          <w:kern w:val="2"/>
          <w:sz w:val="24"/>
          <w:szCs w:val="24"/>
          <w14:ligatures w14:val="standardContextual"/>
        </w:rPr>
        <w:lastRenderedPageBreak/>
        <w:t>sino como bloques de construcción fundamentales de un derecho que aprende, retroalimenta y evoluciona con su entorno.</w:t>
      </w:r>
    </w:p>
    <w:p w14:paraId="6387D8F3"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D9ACF72" w14:textId="77777777" w:rsidR="00626242" w:rsidRDefault="00626242" w:rsidP="00626242">
      <w:pPr>
        <w:numPr>
          <w:ilvl w:val="0"/>
          <w:numId w:val="12"/>
        </w:numPr>
        <w:spacing w:after="0" w:line="360" w:lineRule="auto"/>
        <w:contextualSpacing/>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Los derechos digitales ambientales</w:t>
      </w:r>
    </w:p>
    <w:p w14:paraId="67153B34" w14:textId="77777777" w:rsidR="00626242" w:rsidRPr="00626242" w:rsidRDefault="00626242" w:rsidP="00626242">
      <w:pPr>
        <w:spacing w:after="0" w:line="360" w:lineRule="auto"/>
        <w:contextualSpacing/>
        <w:jc w:val="both"/>
        <w:rPr>
          <w:rFonts w:ascii="Aptos" w:eastAsia="Aptos" w:hAnsi="Aptos" w:cs="Times New Roman"/>
          <w:b/>
          <w:color w:val="000000"/>
          <w:kern w:val="2"/>
          <w:sz w:val="24"/>
          <w:szCs w:val="24"/>
          <w14:ligatures w14:val="standardContextual"/>
        </w:rPr>
      </w:pPr>
    </w:p>
    <w:p w14:paraId="348D1E38"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La crisis ecológica, el acelerado ritmo de digitalización y la creciente demanda de justicia socioambiental han contribuido a la emergencia de una nueva categoría normativa:  los derechos digitales ambientales. Esto no constituye únicamente una síntesis interdisciplinaria, sino también una respuesta estructural a las transformaciones en las dinámicas del poder, información y participación del Antropoceno. </w:t>
      </w:r>
    </w:p>
    <w:p w14:paraId="24CD2C80"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E310263"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Estos derechos pueden reconceptualizarse como un conjunto de promesas jurídicas orientadas a  garantizar tres dimensiones: 1. acceso a datos sobre condiciones ambientales en tiempo real; 2. participación efectiva en la toma de decisiones ambientales con la ayuda de tecnologías digitales; y 3. libertad de discriminación algorítmica en las agendas de sostenibilidad</w:t>
      </w:r>
      <w:r w:rsidRPr="00626242">
        <w:rPr>
          <w:rFonts w:ascii="Aptos" w:eastAsia="Aptos" w:hAnsi="Aptos" w:cs="Times New Roman"/>
          <w:bCs/>
          <w:color w:val="000000"/>
          <w:kern w:val="2"/>
          <w:sz w:val="24"/>
          <w:szCs w:val="24"/>
          <w:vertAlign w:val="superscript"/>
          <w14:ligatures w14:val="standardContextual"/>
        </w:rPr>
        <w:footnoteReference w:id="13"/>
      </w:r>
      <w:r w:rsidRPr="00626242">
        <w:rPr>
          <w:rFonts w:ascii="Aptos" w:eastAsia="Aptos" w:hAnsi="Aptos" w:cs="Times New Roman"/>
          <w:bCs/>
          <w:color w:val="000000"/>
          <w:kern w:val="2"/>
          <w:sz w:val="24"/>
          <w:szCs w:val="24"/>
          <w14:ligatures w14:val="standardContextual"/>
        </w:rPr>
        <w:t>.</w:t>
      </w:r>
    </w:p>
    <w:p w14:paraId="693592A3" w14:textId="77777777" w:rsidR="00626242" w:rsidRPr="00626242" w:rsidRDefault="00626242" w:rsidP="00626242">
      <w:pPr>
        <w:spacing w:line="360" w:lineRule="auto"/>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4.1. Acceso a la Información Ambiental a través de Redes Digitales.</w:t>
      </w:r>
    </w:p>
    <w:p w14:paraId="47476F06"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Ahora bien, el derecho a acceder a la información ambiental- garantizado en el Principio 10 de la Declaración de Río y respaldado por el Acuerdo de Escazú- ha entrado una nueva fase: la de los datos abiertos en tiempo real. Sensores, satélites, drones y redes ciudadanas proporcionan flujos continuos de información sobre la calidad del aire, los niveles de contaminación del agua, deforestación o emisiones industriales.</w:t>
      </w:r>
      <w:r w:rsidRPr="00626242">
        <w:rPr>
          <w:rFonts w:ascii="Aptos" w:eastAsia="Aptos" w:hAnsi="Aptos" w:cs="Times New Roman"/>
          <w:bCs/>
          <w:color w:val="000000"/>
          <w:kern w:val="2"/>
          <w:sz w:val="24"/>
          <w:szCs w:val="24"/>
          <w:vertAlign w:val="superscript"/>
          <w14:ligatures w14:val="standardContextual"/>
        </w:rPr>
        <w:footnoteReference w:id="14"/>
      </w:r>
      <w:r w:rsidRPr="00626242">
        <w:rPr>
          <w:rFonts w:ascii="Aptos" w:eastAsia="Aptos" w:hAnsi="Aptos" w:cs="Times New Roman"/>
          <w:bCs/>
          <w:color w:val="000000"/>
          <w:kern w:val="2"/>
          <w:sz w:val="24"/>
          <w:szCs w:val="24"/>
          <w14:ligatures w14:val="standardContextual"/>
        </w:rPr>
        <w:t xml:space="preserve"> </w:t>
      </w:r>
    </w:p>
    <w:p w14:paraId="1A7B2408"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0121FB23"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lastRenderedPageBreak/>
        <w:t>Sin embargo, el acceso a la información no garantiza justicia ambiental. La opacidad de los algoritmos que interpretan estos datos, la concentración de las infraestructuras digitales en manos de actores privatizados y la brecha digital territorial generan nuevas formas de exclusión. Como advierte Linnet Taylor, la transparencia de los datos no conduce necesariamente a la justicia si los usuarios carecen de la capacidad para interpretarlos y movilizarlos colectivamente</w:t>
      </w:r>
      <w:r w:rsidRPr="00626242">
        <w:rPr>
          <w:rFonts w:ascii="Aptos" w:eastAsia="Aptos" w:hAnsi="Aptos" w:cs="Times New Roman"/>
          <w:bCs/>
          <w:color w:val="000000"/>
          <w:kern w:val="2"/>
          <w:sz w:val="24"/>
          <w:szCs w:val="24"/>
          <w:vertAlign w:val="superscript"/>
          <w14:ligatures w14:val="standardContextual"/>
        </w:rPr>
        <w:footnoteReference w:id="15"/>
      </w:r>
      <w:r w:rsidRPr="00626242">
        <w:rPr>
          <w:rFonts w:ascii="Aptos" w:eastAsia="Aptos" w:hAnsi="Aptos" w:cs="Times New Roman"/>
          <w:bCs/>
          <w:color w:val="000000"/>
          <w:kern w:val="2"/>
          <w:sz w:val="24"/>
          <w:szCs w:val="24"/>
          <w14:ligatures w14:val="standardContextual"/>
        </w:rPr>
        <w:t>. Un ejemplo, claro en México es la  plataforma Aire CDMX, que, aunque disponible en la Ciudad de México, no es accesible para comunidades marginadas, con acceso a internet o alfabetización digital faltando como una realidad universal.</w:t>
      </w:r>
      <w:r w:rsidRPr="00626242">
        <w:rPr>
          <w:rFonts w:ascii="Aptos" w:eastAsia="Aptos" w:hAnsi="Aptos" w:cs="Times New Roman"/>
          <w:bCs/>
          <w:color w:val="000000"/>
          <w:kern w:val="2"/>
          <w:sz w:val="24"/>
          <w:szCs w:val="24"/>
          <w:vertAlign w:val="superscript"/>
          <w14:ligatures w14:val="standardContextual"/>
        </w:rPr>
        <w:footnoteReference w:id="16"/>
      </w:r>
    </w:p>
    <w:p w14:paraId="0FAC11FC"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73AA0BA" w14:textId="77777777" w:rsidR="00626242" w:rsidRPr="00626242" w:rsidRDefault="00626242" w:rsidP="00626242">
      <w:pPr>
        <w:numPr>
          <w:ilvl w:val="1"/>
          <w:numId w:val="12"/>
        </w:numPr>
        <w:spacing w:after="0" w:line="360" w:lineRule="auto"/>
        <w:contextualSpacing/>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Participación Impulsada por la Tecnología en el Medio Ambiente.</w:t>
      </w:r>
    </w:p>
    <w:p w14:paraId="7F34DD0A"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2A10CC9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Otro componente del Principio 10 del acuerdo de Escazú, sobre la participación ciudadana en las decisiones ambientales se ha trasladado a internet. Las consultas en línea con pueblos indígenas, los foros virtuales para evaluar impactos ambientales y las aplicaciones móviles para reportar violaciones ecológicas se han convertido en practicas habituales.</w:t>
      </w:r>
      <w:r w:rsidRPr="00626242">
        <w:rPr>
          <w:rFonts w:ascii="Aptos" w:eastAsia="Aptos" w:hAnsi="Aptos" w:cs="Times New Roman"/>
          <w:bCs/>
          <w:color w:val="000000"/>
          <w:kern w:val="2"/>
          <w:sz w:val="24"/>
          <w:szCs w:val="24"/>
          <w:vertAlign w:val="superscript"/>
          <w14:ligatures w14:val="standardContextual"/>
        </w:rPr>
        <w:footnoteReference w:id="17"/>
      </w:r>
      <w:r w:rsidRPr="00626242">
        <w:rPr>
          <w:rFonts w:ascii="Aptos" w:eastAsia="Aptos" w:hAnsi="Aptos" w:cs="Times New Roman"/>
          <w:bCs/>
          <w:color w:val="000000"/>
          <w:kern w:val="2"/>
          <w:sz w:val="24"/>
          <w:szCs w:val="24"/>
          <w14:ligatures w14:val="standardContextual"/>
        </w:rPr>
        <w:t xml:space="preserve"> </w:t>
      </w:r>
    </w:p>
    <w:p w14:paraId="6185450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Sin embargo, esta mediación tecnológica conlleva riesgos significativos: la participación se vuelve simbólica o fragmentada, desprovista de un verdadero poder deliberativo. Más aún, en estos espacios híbridos, las personas rurales, indígenas o de bajos ingresos suelen quedar excluidos o invisibilizados. Como lo expresa la CEPAL: “la digitalización de la participación sin inclusión significativa exacerba las asimetrías de poder en la gobernanza ambiental.”</w:t>
      </w:r>
      <w:r w:rsidRPr="00626242">
        <w:rPr>
          <w:rFonts w:ascii="Aptos" w:eastAsia="Aptos" w:hAnsi="Aptos" w:cs="Times New Roman"/>
          <w:bCs/>
          <w:color w:val="000000"/>
          <w:kern w:val="2"/>
          <w:sz w:val="24"/>
          <w:szCs w:val="24"/>
          <w:vertAlign w:val="superscript"/>
          <w14:ligatures w14:val="standardContextual"/>
        </w:rPr>
        <w:footnoteReference w:id="18"/>
      </w:r>
      <w:r w:rsidRPr="00626242">
        <w:rPr>
          <w:rFonts w:ascii="Aptos" w:eastAsia="Aptos" w:hAnsi="Aptos" w:cs="Times New Roman"/>
          <w:bCs/>
          <w:color w:val="000000"/>
          <w:kern w:val="2"/>
          <w:sz w:val="24"/>
          <w:szCs w:val="24"/>
          <w14:ligatures w14:val="standardContextual"/>
        </w:rPr>
        <w:t xml:space="preserve"> </w:t>
      </w:r>
    </w:p>
    <w:p w14:paraId="50B5C94D"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lastRenderedPageBreak/>
        <w:t>Por lo tanto, los derechos digitales ambientales deben trabajar hacia un diseño constructivo e inclusivo, accesibilidad y apoyo institucional, en lugar de solo acceso a una voz digital accesible con un significado normativo.</w:t>
      </w:r>
    </w:p>
    <w:p w14:paraId="68F86BCE"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D4CC010" w14:textId="77777777" w:rsidR="00626242" w:rsidRPr="00626242" w:rsidRDefault="00626242" w:rsidP="00626242">
      <w:pPr>
        <w:spacing w:line="360" w:lineRule="auto"/>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4.3. Prevención de la Socialización de la Discriminación Algorítmica Ambiental.</w:t>
      </w:r>
    </w:p>
    <w:p w14:paraId="2470F3D1"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Uno de los más revolucionarios de todos es la salvaguarda para decisiones automatizadas orientadas a reducir el impacto ambiental. Ya existen sistemas que designan zonas de riesgo ambiental, priorizan inversiones en infraestructura verde o predicen migraciones climáticas. Sin embargo, estos algoritmos también pueden reproducir – e incluso perturbar- sesgos históricos, como ocurre cuando vertederos o plantas industriales se ubican en barrios pobres en los que las comunidades están históricamente segregadas.</w:t>
      </w:r>
      <w:r w:rsidRPr="00626242">
        <w:rPr>
          <w:rFonts w:ascii="Aptos" w:eastAsia="Aptos" w:hAnsi="Aptos" w:cs="Times New Roman"/>
          <w:bCs/>
          <w:color w:val="000000"/>
          <w:kern w:val="2"/>
          <w:sz w:val="24"/>
          <w:szCs w:val="24"/>
          <w:vertAlign w:val="superscript"/>
          <w14:ligatures w14:val="standardContextual"/>
        </w:rPr>
        <w:footnoteReference w:id="19"/>
      </w:r>
    </w:p>
    <w:p w14:paraId="1C464FC7"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06F374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Este problema conocido como redlining algorítmico ambiental, exige una garantía alternativa: el derecho a estar protegido contra la discriminación derivada de decisiones automatizadas basadas en datos contaminados, sesgados o modelos opacos. Como ha demostrado Virginia Eubanks, la automatización en políticas públicas puede “codificar la desigualdad”, y el sector ambiental no es diferente.</w:t>
      </w:r>
      <w:r w:rsidRPr="00626242">
        <w:rPr>
          <w:rFonts w:ascii="Aptos" w:eastAsia="Aptos" w:hAnsi="Aptos" w:cs="Times New Roman"/>
          <w:bCs/>
          <w:color w:val="000000"/>
          <w:kern w:val="2"/>
          <w:sz w:val="24"/>
          <w:szCs w:val="24"/>
          <w:vertAlign w:val="superscript"/>
          <w14:ligatures w14:val="standardContextual"/>
        </w:rPr>
        <w:footnoteReference w:id="20"/>
      </w:r>
      <w:r w:rsidRPr="00626242">
        <w:rPr>
          <w:rFonts w:ascii="Aptos" w:eastAsia="Aptos" w:hAnsi="Aptos" w:cs="Times New Roman"/>
          <w:bCs/>
          <w:color w:val="000000"/>
          <w:kern w:val="2"/>
          <w:sz w:val="24"/>
          <w:szCs w:val="24"/>
          <w14:ligatures w14:val="standardContextual"/>
        </w:rPr>
        <w:t xml:space="preserve"> </w:t>
      </w:r>
    </w:p>
    <w:p w14:paraId="55A831D3"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Por lo tanto, se necesitan medidas que van desde auditorías algorítmicas ambientales hasta la explicabilidad de modelos y el derecho a un remedio cuando un algoritmo conduce a un daño ecológico particular.</w:t>
      </w:r>
    </w:p>
    <w:p w14:paraId="308C4ABD"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11BFB6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lastRenderedPageBreak/>
        <w:t>En resumen, estos tres ejes contextualizan el desarrollo de una categoría legal emergente que aborda las condiciones del Antropoceno: un derecho que protege el medio ambiente y también guía cómo conocemos, decidimos y actuamos sobre él en la era digital.</w:t>
      </w:r>
    </w:p>
    <w:p w14:paraId="79881726"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74ECF540" w14:textId="77777777" w:rsidR="00626242" w:rsidRPr="00626242" w:rsidRDefault="00626242" w:rsidP="00626242">
      <w:pPr>
        <w:spacing w:line="360" w:lineRule="auto"/>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 xml:space="preserve">5. Consecuencias para el Derecho y la Política Pública. </w:t>
      </w:r>
    </w:p>
    <w:p w14:paraId="4189A06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Los derechos digitales ambientales no constituyen meramente una mejora técnica de una serie de derechos básicos; implican, además, una transformación profunda del papel del poder judicial y de los modelos de gobernanza ambiental. Los tribunales ya no pueden concebirse únicamente como espacios donde se aplican normas rígidas y estáticas; sino que deben convertirse en ámbitos de aprendizaje compartido y de ajuste regulatorio dinámico. Esto exige una jurisprudencia capaz de integrar conocimiento empírico contemporáneo, datos locales y análisis de impacto algorítmico en sus hallazgos.</w:t>
      </w:r>
    </w:p>
    <w:p w14:paraId="57DB1E2D"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0C219C3D"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Un ejemplo prometedor de este enfoque lo ofrecen los tribunales climáticos que en los Países Bajos (Urgenda v. Estado)</w:t>
      </w:r>
      <w:r w:rsidRPr="00626242">
        <w:rPr>
          <w:rFonts w:ascii="Aptos" w:eastAsia="Aptos" w:hAnsi="Aptos" w:cs="Times New Roman"/>
          <w:bCs/>
          <w:color w:val="000000"/>
          <w:kern w:val="2"/>
          <w:sz w:val="24"/>
          <w:szCs w:val="24"/>
          <w:vertAlign w:val="superscript"/>
          <w14:ligatures w14:val="standardContextual"/>
        </w:rPr>
        <w:footnoteReference w:id="21"/>
      </w:r>
      <w:r w:rsidRPr="00626242">
        <w:rPr>
          <w:rFonts w:ascii="Aptos" w:eastAsia="Aptos" w:hAnsi="Aptos" w:cs="Times New Roman"/>
          <w:bCs/>
          <w:color w:val="000000"/>
          <w:kern w:val="2"/>
          <w:sz w:val="24"/>
          <w:szCs w:val="24"/>
          <w14:ligatures w14:val="standardContextual"/>
        </w:rPr>
        <w:t xml:space="preserve"> y en Colombia (Sentencia T-622/2016, preservando el Río Atrato)</w:t>
      </w:r>
      <w:r w:rsidRPr="00626242">
        <w:rPr>
          <w:rFonts w:ascii="Aptos" w:eastAsia="Aptos" w:hAnsi="Aptos" w:cs="Times New Roman"/>
          <w:bCs/>
          <w:color w:val="000000"/>
          <w:kern w:val="2"/>
          <w:sz w:val="24"/>
          <w:szCs w:val="24"/>
          <w:vertAlign w:val="superscript"/>
          <w14:ligatures w14:val="standardContextual"/>
        </w:rPr>
        <w:footnoteReference w:id="22"/>
      </w:r>
      <w:r w:rsidRPr="00626242">
        <w:rPr>
          <w:rFonts w:ascii="Aptos" w:eastAsia="Aptos" w:hAnsi="Aptos" w:cs="Times New Roman"/>
          <w:bCs/>
          <w:color w:val="000000"/>
          <w:kern w:val="2"/>
          <w:sz w:val="24"/>
          <w:szCs w:val="24"/>
          <w14:ligatures w14:val="standardContextual"/>
        </w:rPr>
        <w:t>, donde los jueces han adoptado una postura proactiva: no solo para declarar violaciones, sino para diseñar remedios estructurales sujetos a monitoreo continuo. El Acuerdo de Escazú en América Latina va más allá al exigir que los sistemas judiciales de protección ambiental sean "oportunos, efectivos y accesibles."</w:t>
      </w:r>
      <w:r w:rsidRPr="00626242">
        <w:rPr>
          <w:rFonts w:ascii="Aptos" w:eastAsia="Aptos" w:hAnsi="Aptos" w:cs="Times New Roman"/>
          <w:bCs/>
          <w:color w:val="000000"/>
          <w:kern w:val="2"/>
          <w:sz w:val="24"/>
          <w:szCs w:val="24"/>
          <w:vertAlign w:val="superscript"/>
          <w14:ligatures w14:val="standardContextual"/>
        </w:rPr>
        <w:footnoteReference w:id="23"/>
      </w:r>
      <w:r w:rsidRPr="00626242">
        <w:rPr>
          <w:rFonts w:ascii="Aptos" w:eastAsia="Aptos" w:hAnsi="Aptos" w:cs="Times New Roman"/>
          <w:bCs/>
          <w:color w:val="000000"/>
          <w:kern w:val="2"/>
          <w:sz w:val="24"/>
          <w:szCs w:val="24"/>
          <w14:ligatures w14:val="standardContextual"/>
        </w:rPr>
        <w:t xml:space="preserve"> No obstante, los componentes digitales de la justicia, como las evaluaciones de sesgo en las tecnologías de monitoreo y la efectividad de las consultas indígenas en línea, se en. Los jueces requerirán experiencia técnica, protocolos de experiencia algorítmica y aprendizaje sobre justicia ambiental digital.</w:t>
      </w:r>
    </w:p>
    <w:p w14:paraId="00737541"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865EEB7"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En el ámbito de la política pública, la implementación de los derechos digitales ambientales demanda un institucionalismo híbrido; es decir, instituciones capaces de articular la regulación ambiental, la protección de datos personales y las capacidades tecnológicas. Esta tarea no recae exclusivamente en las autoridades ambientales nacionales, sino que exige una colaboración estrecha entre agencias de transparencia, entes de protección de datos y actores de innovación digital, con el fin de garantizar que las plataformas de monitoreo ambiental no vulneren la privacidad ni excluyan a poblaciones históricamente marginadas. Asimismo, resultan fundamentales estándares mínimos de diseño inclusivo: interfaces accesibles, transparencia en los datos, disponibilidad en lenguas indígenas y mecanismos efectivos de retroalimentación comunitaria.</w:t>
      </w:r>
    </w:p>
    <w:p w14:paraId="2983D3DA"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41630A51" w14:textId="77777777" w:rsidR="00626242" w:rsidRPr="00626242" w:rsidRDefault="00626242" w:rsidP="00626242">
      <w:pPr>
        <w:spacing w:line="360" w:lineRule="auto"/>
        <w:jc w:val="both"/>
        <w:rPr>
          <w:rFonts w:ascii="Aptos" w:eastAsia="Aptos" w:hAnsi="Aptos" w:cs="Times New Roman"/>
          <w:b/>
          <w:color w:val="000000"/>
          <w:kern w:val="2"/>
          <w:sz w:val="24"/>
          <w:szCs w:val="24"/>
          <w14:ligatures w14:val="standardContextual"/>
        </w:rPr>
      </w:pPr>
      <w:r w:rsidRPr="00626242">
        <w:rPr>
          <w:rFonts w:ascii="Aptos" w:eastAsia="Aptos" w:hAnsi="Aptos" w:cs="Times New Roman"/>
          <w:b/>
          <w:color w:val="000000"/>
          <w:kern w:val="2"/>
          <w:sz w:val="24"/>
          <w:szCs w:val="24"/>
          <w14:ligatures w14:val="standardContextual"/>
        </w:rPr>
        <w:t>CONCLUSIONES.</w:t>
      </w:r>
    </w:p>
    <w:p w14:paraId="0F8FA124"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425A225"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El Antropoceno requiere un nuevo tipo de derecho ambiental. Frente a la complejidad sistémica, la incertidumbre científica y la aceleración tecnológica, los regímenes legales tradicionales estáticos, antropocéntricos y fragmentados exponen sus debilidades estructurales. El presente escrito concluye que el sistema legal debe concebirse como un sistema adaptativo: capaz de aprender autorregularse e interrelacionarse con los ecosistemas a los que busca contribuir. </w:t>
      </w:r>
    </w:p>
    <w:p w14:paraId="02CA2489"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FE84D00"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En este marco, la categoría de derechos digitales ambientales no surge como un añadido tecnocrático ni como un complemento marginal, sino como una respuesta normativa holística a las nuevas configuraciones del poder, exclusión y participación propias de la era digital. Estos derechos- el acceso justo a los datos ambientales, a la participación efectiva potenciada por tectologías digitales y a la defensa contra discriminación algorítmica- articulan tres dimensiones esenciales del Antropoceno: la justicia ambiental, la gobernanza algorítmica y la sostenibilidad cognitiva.</w:t>
      </w:r>
    </w:p>
    <w:p w14:paraId="2DDEB971" w14:textId="77777777" w:rsidR="00626242" w:rsidRDefault="00626242" w:rsidP="00626242">
      <w:pPr>
        <w:spacing w:line="360" w:lineRule="auto"/>
        <w:jc w:val="both"/>
        <w:rPr>
          <w:rFonts w:ascii="Aptos" w:eastAsia="Aptos" w:hAnsi="Aptos" w:cs="Times New Roman"/>
          <w:bCs/>
          <w:color w:val="000000"/>
          <w:kern w:val="2"/>
          <w:sz w:val="24"/>
          <w:szCs w:val="24"/>
          <w14:ligatures w14:val="standardContextual"/>
        </w:rPr>
      </w:pPr>
    </w:p>
    <w:p w14:paraId="547CF69F" w14:textId="77777777" w:rsidR="00BA7A63" w:rsidRDefault="00BA7A63" w:rsidP="00626242">
      <w:pPr>
        <w:spacing w:line="360" w:lineRule="auto"/>
        <w:jc w:val="both"/>
        <w:rPr>
          <w:rFonts w:ascii="Aptos" w:eastAsia="Aptos" w:hAnsi="Aptos" w:cs="Times New Roman"/>
          <w:bCs/>
          <w:color w:val="000000"/>
          <w:kern w:val="2"/>
          <w:sz w:val="24"/>
          <w:szCs w:val="24"/>
          <w14:ligatures w14:val="standardContextual"/>
        </w:rPr>
      </w:pPr>
    </w:p>
    <w:p w14:paraId="590E120B" w14:textId="77777777" w:rsidR="00BA7A63" w:rsidRPr="00626242" w:rsidRDefault="00BA7A63" w:rsidP="00626242">
      <w:pPr>
        <w:spacing w:line="360" w:lineRule="auto"/>
        <w:jc w:val="both"/>
        <w:rPr>
          <w:rFonts w:ascii="Aptos" w:eastAsia="Aptos" w:hAnsi="Aptos" w:cs="Times New Roman"/>
          <w:bCs/>
          <w:color w:val="000000"/>
          <w:kern w:val="2"/>
          <w:sz w:val="24"/>
          <w:szCs w:val="24"/>
          <w14:ligatures w14:val="standardContextual"/>
        </w:rPr>
      </w:pPr>
    </w:p>
    <w:p w14:paraId="0BD71980"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Su </w:t>
      </w:r>
      <w:r w:rsidR="00BA7A63" w:rsidRPr="00626242">
        <w:rPr>
          <w:rFonts w:ascii="Aptos" w:eastAsia="Aptos" w:hAnsi="Aptos" w:cs="Times New Roman"/>
          <w:bCs/>
          <w:color w:val="000000"/>
          <w:kern w:val="2"/>
          <w:sz w:val="24"/>
          <w:szCs w:val="24"/>
          <w14:ligatures w14:val="standardContextual"/>
        </w:rPr>
        <w:t>reconocimiento pleno</w:t>
      </w:r>
      <w:r w:rsidRPr="00626242">
        <w:rPr>
          <w:rFonts w:ascii="Aptos" w:eastAsia="Aptos" w:hAnsi="Aptos" w:cs="Times New Roman"/>
          <w:bCs/>
          <w:color w:val="000000"/>
          <w:kern w:val="2"/>
          <w:sz w:val="24"/>
          <w:szCs w:val="24"/>
          <w14:ligatures w14:val="standardContextual"/>
        </w:rPr>
        <w:t xml:space="preserve"> implicará cambios masivos: tribunales para reconciliar ciencia, conocimiento local y análisis algorítmico; políticas públicas para declarar autoridades en derechos ambientales, digitales y humanos; y comunidades para cuestionar, coproducir y movilizar tecnologías como medios estratégicos para asegurar el territorio. </w:t>
      </w:r>
    </w:p>
    <w:p w14:paraId="55F9ED62"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7014B70B"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En América Latina, el Acuerdo de Escazú y los ejemplos constitucionales de Ecuador o Colombia han creado bases sólidas pero insuficientes para la integración. Más allá de su formulación teórica, estos derechos ambientales digitales indican una ética legal del cuidado planetario: una ética que respeta la conectividad de los seres humanos, la vida no humana y los sistemas técnicos y se apropia de las consecuencias netas de las decisiones normativas que tomamos en el camino. </w:t>
      </w:r>
    </w:p>
    <w:p w14:paraId="65BF1728"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EE8449A" w14:textId="77777777" w:rsidR="00626242" w:rsidRPr="00626242" w:rsidRDefault="00626242" w:rsidP="00626242">
      <w:pPr>
        <w:spacing w:line="360" w:lineRule="auto"/>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En un mundo donde los datos informan la forma en que interpretamos la crisis ecológica y los algoritmos asignan sus cargas, la ley no debe ser neutral. En cambio, necesita ser regenerativa, inclusiva y digitalmente competente. Este artículo no pretende cerrar el debate, sino abrirlo: pedir a la comunidad legal que imagine y cree un derecho ambiental que no solo regule el presente, sino que pueda tejer futuros habitables en un mundo del Antropoceno.</w:t>
      </w:r>
    </w:p>
    <w:p w14:paraId="5F9CB770"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A362852" w14:textId="77777777" w:rsidR="00626242" w:rsidRPr="00626242" w:rsidRDefault="00626242" w:rsidP="00626242">
      <w:pPr>
        <w:spacing w:line="360" w:lineRule="auto"/>
        <w:jc w:val="both"/>
        <w:rPr>
          <w:rFonts w:ascii="Aptos" w:eastAsia="Aptos" w:hAnsi="Aptos" w:cs="Times New Roman"/>
          <w:b/>
          <w:bCs/>
          <w:kern w:val="2"/>
          <w:sz w:val="24"/>
          <w:szCs w:val="24"/>
          <w14:ligatures w14:val="standardContextual"/>
        </w:rPr>
      </w:pPr>
      <w:r w:rsidRPr="00626242">
        <w:rPr>
          <w:rFonts w:ascii="Aptos" w:eastAsia="Aptos" w:hAnsi="Aptos" w:cs="Times New Roman"/>
          <w:b/>
          <w:bCs/>
          <w:kern w:val="2"/>
          <w:sz w:val="24"/>
          <w:szCs w:val="24"/>
          <w14:ligatures w14:val="standardContextual"/>
        </w:rPr>
        <w:t>REFERENCIAS.</w:t>
      </w:r>
    </w:p>
    <w:p w14:paraId="2AB58318"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072F721"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Caballero, Daniel, “Más de una década de Derechos de la Naturaleza: avances y desafíos en Ecuador”, Aportes, núm. 24, junio 2023, pp. 5-40, </w:t>
      </w:r>
      <w:r>
        <w:fldChar w:fldCharType="begin"/>
      </w:r>
      <w:r>
        <w:instrText>HYPERLINK "https://dplf.org/wp-content/uploads/2025/07/Aportes-DPLF-Derechos-de-la-Naturaleza.pdf"</w:instrText>
      </w:r>
      <w:r>
        <w:fldChar w:fldCharType="separate"/>
      </w:r>
      <w:r w:rsidRPr="00626242">
        <w:rPr>
          <w:rFonts w:ascii="Aptos" w:eastAsia="Aptos" w:hAnsi="Aptos" w:cs="Times New Roman"/>
          <w:bCs/>
          <w:color w:val="467886"/>
          <w:kern w:val="2"/>
          <w:sz w:val="24"/>
          <w:szCs w:val="24"/>
          <w:u w:val="single"/>
          <w14:ligatures w14:val="standardContextual"/>
        </w:rPr>
        <w:t>https://dplf.org/wp-content/uploads/2025/07/Aportes-DPLF-Derechos-de-la-Naturaleza.pdf</w:t>
      </w:r>
      <w:r>
        <w:fldChar w:fldCharType="end"/>
      </w:r>
    </w:p>
    <w:p w14:paraId="257F6470"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233CE00D"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CEPAL, “Acuerdo regional sobre el Acceso a la Información, la Participación Pública y el Acceso a la Justicia en Asuntos Ambientales en América Latina y el Caribe”, </w:t>
      </w:r>
      <w:r>
        <w:fldChar w:fldCharType="begin"/>
      </w:r>
      <w:r>
        <w:instrText>HYPERLINK "https://www.cepal.org/es/acuerdodeescazu"</w:instrText>
      </w:r>
      <w:r>
        <w:fldChar w:fldCharType="separate"/>
      </w:r>
      <w:r w:rsidRPr="00626242">
        <w:rPr>
          <w:rFonts w:ascii="Aptos" w:eastAsia="Aptos" w:hAnsi="Aptos" w:cs="Times New Roman"/>
          <w:bCs/>
          <w:color w:val="467886"/>
          <w:kern w:val="2"/>
          <w:sz w:val="24"/>
          <w:szCs w:val="24"/>
          <w:u w:val="single"/>
          <w14:ligatures w14:val="standardContextual"/>
        </w:rPr>
        <w:t>https://www.cepal.org/es/acuerdodeescazu</w:t>
      </w:r>
      <w:r>
        <w:fldChar w:fldCharType="end"/>
      </w:r>
    </w:p>
    <w:p w14:paraId="716C1183"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9E8B0AB"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CEPAL, “Sin inclusión digital, la transformación tecnológica no será progreso, sino una nueva forma de desigualdad”, </w:t>
      </w:r>
      <w:r>
        <w:fldChar w:fldCharType="begin"/>
      </w:r>
      <w:r>
        <w:instrText>HYPERLINK "https://www.cepal.org/es/notas/sin-inclusion-digital-la-transformacion-tecnologica-sera-progreso-sino-nueva-forma-0"</w:instrText>
      </w:r>
      <w:r>
        <w:fldChar w:fldCharType="separate"/>
      </w:r>
      <w:r w:rsidRPr="00626242">
        <w:rPr>
          <w:rFonts w:ascii="Aptos" w:eastAsia="Aptos" w:hAnsi="Aptos" w:cs="Times New Roman"/>
          <w:bCs/>
          <w:color w:val="467886"/>
          <w:kern w:val="2"/>
          <w:sz w:val="24"/>
          <w:szCs w:val="24"/>
          <w:u w:val="single"/>
          <w14:ligatures w14:val="standardContextual"/>
        </w:rPr>
        <w:t>https://www.cepal.org/es/notas/sin-inclusion-digital-la-transformacion-tecnologica-sera-progreso-sino-nueva-forma-0</w:t>
      </w:r>
      <w:r>
        <w:fldChar w:fldCharType="end"/>
      </w:r>
    </w:p>
    <w:p w14:paraId="4ECE877B"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p>
    <w:p w14:paraId="64306115"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Chávez, Juan Miguel, Mujica, Francisco, “Orden social y orden jurídico: la observación de Niklas Luhmann sobre el derecho”, Sociológica Méx, Ciudad de México, núm. 81, vol. 29, pp. 7-38, abril 2014, </w:t>
      </w:r>
      <w:r>
        <w:fldChar w:fldCharType="begin"/>
      </w:r>
      <w:r>
        <w:instrText>HYPERLINK "http://www.scielo.org.mx/scielo.php?script=sci_arttext&amp;pid=S0187-01732014000100001&amp;lng=es&amp;nrm=iso"</w:instrText>
      </w:r>
      <w:r>
        <w:fldChar w:fldCharType="separate"/>
      </w:r>
      <w:r w:rsidRPr="00626242">
        <w:rPr>
          <w:rFonts w:ascii="Aptos" w:eastAsia="Aptos" w:hAnsi="Aptos" w:cs="Times New Roman"/>
          <w:bCs/>
          <w:color w:val="467886"/>
          <w:kern w:val="2"/>
          <w:sz w:val="24"/>
          <w:szCs w:val="24"/>
          <w:u w:val="single"/>
          <w14:ligatures w14:val="standardContextual"/>
        </w:rPr>
        <w:t>http://www.scielo.org.mx/scielo.php?script=sci_arttext&amp;pid=S0187-01732014000100001&amp;lng=es&amp;nrm=iso</w:t>
      </w:r>
      <w:r>
        <w:fldChar w:fldCharType="end"/>
      </w:r>
    </w:p>
    <w:p w14:paraId="2F0955F2"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432ED4C"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Columbia Law School, “Fundación Urgenda contra el Estado de los Países Bajos”, 2015, </w:t>
      </w:r>
      <w:r>
        <w:fldChar w:fldCharType="begin"/>
      </w:r>
      <w:r>
        <w:instrText>HYPERLINK "https://www.climatecasechart.com/document/urgenda-foundation-v-state-of-the-netherlands_3297"</w:instrText>
      </w:r>
      <w:r>
        <w:fldChar w:fldCharType="separate"/>
      </w:r>
      <w:r w:rsidRPr="00626242">
        <w:rPr>
          <w:rFonts w:ascii="Aptos" w:eastAsia="Aptos" w:hAnsi="Aptos" w:cs="Times New Roman"/>
          <w:bCs/>
          <w:color w:val="467886"/>
          <w:kern w:val="2"/>
          <w:sz w:val="24"/>
          <w:szCs w:val="24"/>
          <w:u w:val="single"/>
          <w14:ligatures w14:val="standardContextual"/>
        </w:rPr>
        <w:t>https://www.climatecasechart.com/document/urgenda-foundation-v-state-of-the-netherlands_3297</w:t>
      </w:r>
      <w:r>
        <w:fldChar w:fldCharType="end"/>
      </w:r>
    </w:p>
    <w:p w14:paraId="00C641EC"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0DBAEE2"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r w:rsidRPr="00626242">
        <w:rPr>
          <w:rFonts w:ascii="Aptos" w:eastAsia="Aptos" w:hAnsi="Aptos" w:cs="Times New Roman"/>
          <w:bCs/>
          <w:color w:val="000000"/>
          <w:kern w:val="2"/>
          <w:sz w:val="24"/>
          <w:szCs w:val="24"/>
          <w:lang w:val="en-US"/>
          <w14:ligatures w14:val="standardContextual"/>
        </w:rPr>
        <w:t xml:space="preserve">Elizabeth Fisher, </w:t>
      </w:r>
      <w:proofErr w:type="spellStart"/>
      <w:r w:rsidRPr="00626242">
        <w:rPr>
          <w:rFonts w:ascii="Aptos" w:eastAsia="Aptos" w:hAnsi="Aptos" w:cs="Times New Roman"/>
          <w:bCs/>
          <w:color w:val="000000"/>
          <w:kern w:val="2"/>
          <w:sz w:val="24"/>
          <w:szCs w:val="24"/>
          <w:lang w:val="en-US"/>
          <w14:ligatures w14:val="standardContextual"/>
        </w:rPr>
        <w:t>Enviromental</w:t>
      </w:r>
      <w:proofErr w:type="spellEnd"/>
      <w:r w:rsidRPr="00626242">
        <w:rPr>
          <w:rFonts w:ascii="Aptos" w:eastAsia="Aptos" w:hAnsi="Aptos" w:cs="Times New Roman"/>
          <w:bCs/>
          <w:color w:val="000000"/>
          <w:kern w:val="2"/>
          <w:sz w:val="24"/>
          <w:szCs w:val="24"/>
          <w:lang w:val="en-US"/>
          <w14:ligatures w14:val="standardContextual"/>
        </w:rPr>
        <w:t xml:space="preserve"> Law: A very Short Introduction, Oxford, p.45, </w:t>
      </w:r>
      <w:hyperlink r:id="rId12" w:history="1">
        <w:r w:rsidRPr="00626242">
          <w:rPr>
            <w:rFonts w:ascii="Aptos" w:eastAsia="Aptos" w:hAnsi="Aptos" w:cs="Times New Roman"/>
            <w:bCs/>
            <w:color w:val="467886"/>
            <w:kern w:val="2"/>
            <w:sz w:val="24"/>
            <w:szCs w:val="24"/>
            <w:u w:val="single"/>
            <w:lang w:val="en-US"/>
            <w14:ligatures w14:val="standardContextual"/>
          </w:rPr>
          <w:t>https://global.oup.com/academic/product/environmental-law-9780198794189?cc=mx&amp;lang=en&amp;</w:t>
        </w:r>
      </w:hyperlink>
    </w:p>
    <w:p w14:paraId="16D0FE21" w14:textId="77777777" w:rsidR="00626242" w:rsidRPr="00626242" w:rsidRDefault="00626242" w:rsidP="00626242">
      <w:pPr>
        <w:spacing w:after="0" w:line="240" w:lineRule="auto"/>
        <w:rPr>
          <w:rFonts w:ascii="Aptos" w:eastAsia="Aptos" w:hAnsi="Aptos" w:cs="Times New Roman"/>
          <w:kern w:val="2"/>
          <w:sz w:val="24"/>
          <w:szCs w:val="24"/>
          <w:lang w:val="en-US"/>
          <w14:ligatures w14:val="standardContextual"/>
        </w:rPr>
      </w:pPr>
    </w:p>
    <w:p w14:paraId="6AB1F7C0"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r w:rsidRPr="00626242">
        <w:rPr>
          <w:rFonts w:ascii="Aptos" w:eastAsia="Aptos" w:hAnsi="Aptos" w:cs="Times New Roman"/>
          <w:bCs/>
          <w:color w:val="000000"/>
          <w:kern w:val="2"/>
          <w:sz w:val="24"/>
          <w:szCs w:val="24"/>
          <w:lang w:val="en-US"/>
          <w14:ligatures w14:val="standardContextual"/>
        </w:rPr>
        <w:t xml:space="preserve">Eubanks, Virginia, Automating Inequality: How High -Tech Tools Profile, Police, and Punish the Poor, </w:t>
      </w:r>
      <w:proofErr w:type="spellStart"/>
      <w:r w:rsidRPr="00626242">
        <w:rPr>
          <w:rFonts w:ascii="Aptos" w:eastAsia="Aptos" w:hAnsi="Aptos" w:cs="Times New Roman"/>
          <w:bCs/>
          <w:color w:val="000000"/>
          <w:kern w:val="2"/>
          <w:sz w:val="24"/>
          <w:szCs w:val="24"/>
          <w:lang w:val="en-US"/>
          <w14:ligatures w14:val="standardContextual"/>
        </w:rPr>
        <w:t>macmillan</w:t>
      </w:r>
      <w:proofErr w:type="spellEnd"/>
      <w:r w:rsidRPr="00626242">
        <w:rPr>
          <w:rFonts w:ascii="Aptos" w:eastAsia="Aptos" w:hAnsi="Aptos" w:cs="Times New Roman"/>
          <w:bCs/>
          <w:color w:val="000000"/>
          <w:kern w:val="2"/>
          <w:sz w:val="24"/>
          <w:szCs w:val="24"/>
          <w:lang w:val="en-US"/>
          <w14:ligatures w14:val="standardContextual"/>
        </w:rPr>
        <w:t>, Nueva York, 2018, pp. 123-126</w:t>
      </w:r>
    </w:p>
    <w:p w14:paraId="487A70B1" w14:textId="77777777" w:rsidR="00626242" w:rsidRPr="00626242" w:rsidRDefault="00626242" w:rsidP="00626242">
      <w:pPr>
        <w:spacing w:after="0" w:line="240" w:lineRule="auto"/>
        <w:rPr>
          <w:rFonts w:ascii="Aptos" w:eastAsia="Aptos" w:hAnsi="Aptos" w:cs="Times New Roman"/>
          <w:kern w:val="2"/>
          <w:sz w:val="24"/>
          <w:szCs w:val="24"/>
          <w:lang w:val="en-US"/>
          <w14:ligatures w14:val="standardContextual"/>
        </w:rPr>
      </w:pPr>
    </w:p>
    <w:p w14:paraId="1C421E61"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r w:rsidRPr="00626242">
        <w:rPr>
          <w:rFonts w:ascii="Aptos" w:eastAsia="Aptos" w:hAnsi="Aptos" w:cs="Times New Roman"/>
          <w:bCs/>
          <w:color w:val="000000"/>
          <w:kern w:val="2"/>
          <w:sz w:val="24"/>
          <w:szCs w:val="24"/>
          <w:lang w:val="en-US"/>
          <w14:ligatures w14:val="standardContextual"/>
        </w:rPr>
        <w:t xml:space="preserve">Eubanks, Virginia, Automating Inequality: How High -Tech Tools Profile, Police, and Punish the Poor, </w:t>
      </w:r>
      <w:proofErr w:type="spellStart"/>
      <w:r w:rsidRPr="00626242">
        <w:rPr>
          <w:rFonts w:ascii="Aptos" w:eastAsia="Aptos" w:hAnsi="Aptos" w:cs="Times New Roman"/>
          <w:bCs/>
          <w:color w:val="000000"/>
          <w:kern w:val="2"/>
          <w:sz w:val="24"/>
          <w:szCs w:val="24"/>
          <w:lang w:val="en-US"/>
          <w14:ligatures w14:val="standardContextual"/>
        </w:rPr>
        <w:t>macmillan</w:t>
      </w:r>
      <w:proofErr w:type="spellEnd"/>
      <w:r w:rsidRPr="00626242">
        <w:rPr>
          <w:rFonts w:ascii="Aptos" w:eastAsia="Aptos" w:hAnsi="Aptos" w:cs="Times New Roman"/>
          <w:bCs/>
          <w:color w:val="000000"/>
          <w:kern w:val="2"/>
          <w:sz w:val="24"/>
          <w:szCs w:val="24"/>
          <w:lang w:val="en-US"/>
          <w14:ligatures w14:val="standardContextual"/>
        </w:rPr>
        <w:t>, Nueva York, 2018, pp. 123-126.</w:t>
      </w:r>
    </w:p>
    <w:p w14:paraId="2F942E2E" w14:textId="77777777" w:rsidR="00626242" w:rsidRPr="00626242" w:rsidRDefault="00626242" w:rsidP="00626242">
      <w:pPr>
        <w:spacing w:after="0" w:line="240" w:lineRule="auto"/>
        <w:rPr>
          <w:rFonts w:ascii="Aptos" w:eastAsia="Aptos" w:hAnsi="Aptos" w:cs="Times New Roman"/>
          <w:kern w:val="2"/>
          <w:sz w:val="24"/>
          <w:szCs w:val="24"/>
          <w:lang w:val="en-US"/>
          <w14:ligatures w14:val="standardContextual"/>
        </w:rPr>
      </w:pPr>
    </w:p>
    <w:p w14:paraId="62BC645D"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Gobierno de Ciudad de México, “Sistema de Monitoreo Atmosférico”, </w:t>
      </w:r>
      <w:r>
        <w:fldChar w:fldCharType="begin"/>
      </w:r>
      <w:r>
        <w:instrText>HYPERLINK "https://www.aire.cdmx.gob.mx./default.php"</w:instrText>
      </w:r>
      <w:r>
        <w:fldChar w:fldCharType="separate"/>
      </w:r>
      <w:r w:rsidRPr="00626242">
        <w:rPr>
          <w:rFonts w:ascii="Aptos" w:eastAsia="Aptos" w:hAnsi="Aptos" w:cs="Times New Roman"/>
          <w:bCs/>
          <w:color w:val="467886"/>
          <w:kern w:val="2"/>
          <w:sz w:val="24"/>
          <w:szCs w:val="24"/>
          <w:u w:val="single"/>
          <w14:ligatures w14:val="standardContextual"/>
        </w:rPr>
        <w:t>https://www.aire.cdmx.gob.mx./default.php</w:t>
      </w:r>
      <w:r>
        <w:fldChar w:fldCharType="end"/>
      </w:r>
    </w:p>
    <w:p w14:paraId="706332D4"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28A1D033"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lastRenderedPageBreak/>
        <w:t xml:space="preserve">Gobierno de Colombia, “Cuarto informe de seguimiento a la Sentencia T-622 de 2016”, 2019, </w:t>
      </w:r>
      <w:r>
        <w:fldChar w:fldCharType="begin"/>
      </w:r>
      <w:r>
        <w:instrText>HYPERLINK "https://atrato.minambiente.gov.co/wp-content/uploads/2021/11/Cuarto-Informe-de-avance-de-cumplimiento-de-la-sentencia-T-622.pdf"</w:instrText>
      </w:r>
      <w:r>
        <w:fldChar w:fldCharType="separate"/>
      </w:r>
      <w:r w:rsidRPr="00626242">
        <w:rPr>
          <w:rFonts w:ascii="Aptos" w:eastAsia="Aptos" w:hAnsi="Aptos" w:cs="Times New Roman"/>
          <w:bCs/>
          <w:color w:val="467886"/>
          <w:kern w:val="2"/>
          <w:sz w:val="24"/>
          <w:szCs w:val="24"/>
          <w:u w:val="single"/>
          <w14:ligatures w14:val="standardContextual"/>
        </w:rPr>
        <w:t>https://atrato.minambiente.gov.co/wp-content/uploads/2021/11/Cuarto-Informe-de-avance-de-cumplimiento-de-la-sentencia-T-622.pdf</w:t>
      </w:r>
      <w:r>
        <w:fldChar w:fldCharType="end"/>
      </w:r>
    </w:p>
    <w:p w14:paraId="62BCFEA1"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078158FC"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r w:rsidRPr="00626242">
        <w:rPr>
          <w:rFonts w:ascii="Aptos" w:eastAsia="Aptos" w:hAnsi="Aptos" w:cs="Times New Roman"/>
          <w:bCs/>
          <w:color w:val="000000"/>
          <w:kern w:val="2"/>
          <w:sz w:val="24"/>
          <w:szCs w:val="24"/>
          <w:lang w:val="en-US"/>
          <w14:ligatures w14:val="standardContextual"/>
        </w:rPr>
        <w:t xml:space="preserve">International Commission on the Futures of Food and Agriculture, The Future of Food and Agriculture: Alternative Pathways to 2025, Roma, 2018, pp.12-29, </w:t>
      </w:r>
      <w:hyperlink r:id="rId13" w:history="1">
        <w:r w:rsidRPr="00626242">
          <w:rPr>
            <w:rFonts w:ascii="Aptos" w:eastAsia="Aptos" w:hAnsi="Aptos" w:cs="Times New Roman"/>
            <w:bCs/>
            <w:color w:val="467886"/>
            <w:kern w:val="2"/>
            <w:sz w:val="24"/>
            <w:szCs w:val="24"/>
            <w:u w:val="single"/>
            <w:lang w:val="en-US"/>
            <w14:ligatures w14:val="standardContextual"/>
          </w:rPr>
          <w:t>https://openknowledge.fao.org/server/api/core/bitstreams/2c6bd7b4-181e-4117-a90d-32a1bda8b27c/content</w:t>
        </w:r>
      </w:hyperlink>
    </w:p>
    <w:p w14:paraId="083F5DA5"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p>
    <w:p w14:paraId="01F828DC" w14:textId="77777777" w:rsidR="00626242" w:rsidRPr="00626242" w:rsidRDefault="00626242" w:rsidP="00626242">
      <w:pPr>
        <w:spacing w:line="360" w:lineRule="auto"/>
        <w:ind w:left="709" w:hanging="709"/>
        <w:jc w:val="both"/>
        <w:rPr>
          <w:rFonts w:ascii="Aptos" w:eastAsia="Aptos" w:hAnsi="Aptos" w:cs="Times New Roman"/>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López Porras, Gabriel Isacc, Pineda González, Luis Javier, “Sistema de Tierra y derecho: razonamiento jurídico y su argumentación en segunda revolución copernica”, Problema. Anuario de Filosofía y Teoría del Derecho, núm. 19, 2025, pp. 1-25, </w:t>
      </w:r>
      <w:r>
        <w:fldChar w:fldCharType="begin"/>
      </w:r>
      <w:r>
        <w:instrText>HYPERLINK "https://doi.org/10.22201/iij.24487937e.2025.19.18617"</w:instrText>
      </w:r>
      <w:r>
        <w:fldChar w:fldCharType="separate"/>
      </w:r>
      <w:r w:rsidRPr="00626242">
        <w:rPr>
          <w:rFonts w:ascii="Aptos" w:eastAsia="Aptos" w:hAnsi="Aptos" w:cs="Times New Roman"/>
          <w:bCs/>
          <w:color w:val="000000"/>
          <w:kern w:val="2"/>
          <w:sz w:val="24"/>
          <w:szCs w:val="24"/>
          <w14:ligatures w14:val="standardContextual"/>
        </w:rPr>
        <w:t>https://doi.org/10.22201/iij.24487937e.2025.19.18617</w:t>
      </w:r>
      <w:r>
        <w:fldChar w:fldCharType="end"/>
      </w:r>
    </w:p>
    <w:p w14:paraId="28442FF4"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5AF067AD" w14:textId="77777777" w:rsidR="00626242" w:rsidRPr="00626242" w:rsidRDefault="00626242" w:rsidP="00626242">
      <w:pPr>
        <w:spacing w:line="360" w:lineRule="auto"/>
        <w:ind w:left="709" w:hanging="709"/>
        <w:jc w:val="both"/>
        <w:rPr>
          <w:rFonts w:ascii="Aptos" w:eastAsia="Aptos" w:hAnsi="Aptos" w:cs="Times New Roman"/>
          <w:kern w:val="2"/>
          <w:sz w:val="24"/>
          <w:szCs w:val="24"/>
          <w14:ligatures w14:val="standardContextual"/>
        </w:rPr>
      </w:pPr>
      <w:r w:rsidRPr="00626242">
        <w:rPr>
          <w:rFonts w:ascii="Aptos" w:eastAsia="Aptos" w:hAnsi="Aptos" w:cs="Times New Roman"/>
          <w:bCs/>
          <w:color w:val="000000"/>
          <w:kern w:val="2"/>
          <w:sz w:val="24"/>
          <w:szCs w:val="24"/>
          <w:lang w:val="en-US"/>
          <w14:ligatures w14:val="standardContextual"/>
        </w:rPr>
        <w:t>OECD, “</w:t>
      </w:r>
      <w:proofErr w:type="spellStart"/>
      <w:r w:rsidRPr="00626242">
        <w:rPr>
          <w:rFonts w:ascii="Aptos" w:eastAsia="Aptos" w:hAnsi="Aptos" w:cs="Times New Roman"/>
          <w:bCs/>
          <w:color w:val="000000"/>
          <w:kern w:val="2"/>
          <w:sz w:val="24"/>
          <w:szCs w:val="24"/>
          <w:lang w:val="en-US"/>
          <w14:ligatures w14:val="standardContextual"/>
        </w:rPr>
        <w:t>Digitalisation</w:t>
      </w:r>
      <w:proofErr w:type="spellEnd"/>
      <w:r w:rsidRPr="00626242">
        <w:rPr>
          <w:rFonts w:ascii="Aptos" w:eastAsia="Aptos" w:hAnsi="Aptos" w:cs="Times New Roman"/>
          <w:bCs/>
          <w:color w:val="000000"/>
          <w:kern w:val="2"/>
          <w:sz w:val="24"/>
          <w:szCs w:val="24"/>
          <w:lang w:val="en-US"/>
          <w14:ligatures w14:val="standardContextual"/>
        </w:rPr>
        <w:t xml:space="preserve"> and the Environment: Opportunities and Challenges”, 2023, </w:t>
      </w:r>
      <w:hyperlink r:id="rId14" w:history="1">
        <w:r w:rsidRPr="00626242">
          <w:rPr>
            <w:rFonts w:ascii="Aptos" w:eastAsia="Aptos" w:hAnsi="Aptos" w:cs="Times New Roman"/>
            <w:bCs/>
            <w:color w:val="000000"/>
            <w:kern w:val="2"/>
            <w:sz w:val="24"/>
            <w:szCs w:val="24"/>
            <w:lang w:val="en-US"/>
            <w14:ligatures w14:val="standardContextual"/>
          </w:rPr>
          <w:t>https://www.oecd.org/en/topics/digitalisation-</w:t>
        </w:r>
      </w:hyperlink>
    </w:p>
    <w:p w14:paraId="53C645FE" w14:textId="77777777" w:rsidR="00626242" w:rsidRPr="00626242" w:rsidRDefault="00626242" w:rsidP="00626242">
      <w:pPr>
        <w:spacing w:after="0" w:line="240" w:lineRule="auto"/>
        <w:rPr>
          <w:rFonts w:ascii="Aptos" w:eastAsia="Aptos" w:hAnsi="Aptos" w:cs="Times New Roman"/>
          <w:kern w:val="2"/>
          <w:sz w:val="24"/>
          <w:szCs w:val="24"/>
          <w:lang w:val="en-US"/>
          <w14:ligatures w14:val="standardContextual"/>
        </w:rPr>
      </w:pPr>
    </w:p>
    <w:p w14:paraId="7877FB8F"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Pickering, Jonathan, James Patterson, Frank Biermann, Sarah Burch, Lorraine Elliott, Aarti Gupta, Cristina Yumie Aoki Inoue, et al, “Pluralizar los debates sobre el Antropoceno requiere involucrar la diversidad de la investigación existente”, 2023, Asociación Americana de Geógrafos, núm. 113, vol.2, doi:10.1080/24694452.2022.2105296</w:t>
      </w:r>
    </w:p>
    <w:p w14:paraId="2DFA986F"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01B69AFE" w14:textId="77777777" w:rsidR="00626242" w:rsidRPr="00626242" w:rsidRDefault="00626242" w:rsidP="00626242">
      <w:pPr>
        <w:spacing w:line="360" w:lineRule="auto"/>
        <w:ind w:left="709" w:hanging="709"/>
        <w:jc w:val="both"/>
        <w:rPr>
          <w:rFonts w:ascii="Aptos" w:eastAsia="Aptos" w:hAnsi="Aptos" w:cs="Times New Roman"/>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Rueda Barrera, Eduardo A, A modo de introducción del dossier “Cosmopolíticas y emancipación en América Latina”, Rev. Kawsaypacha , Lima, núm. 13, enero 22024. </w:t>
      </w:r>
      <w:r>
        <w:fldChar w:fldCharType="begin"/>
      </w:r>
      <w:r>
        <w:instrText>HYPERLINK "http://www.scielo.org.pe/scielo.php?script=sci_arttext&amp;pid=S270936892024000100001&amp;lng=es&amp;nrm=iso"</w:instrText>
      </w:r>
      <w:r>
        <w:fldChar w:fldCharType="separate"/>
      </w:r>
      <w:r w:rsidRPr="00626242">
        <w:rPr>
          <w:rFonts w:ascii="Aptos" w:eastAsia="Aptos" w:hAnsi="Aptos" w:cs="Times New Roman"/>
          <w:bCs/>
          <w:color w:val="000000"/>
          <w:kern w:val="2"/>
          <w:sz w:val="24"/>
          <w:szCs w:val="24"/>
          <w14:ligatures w14:val="standardContextual"/>
        </w:rPr>
        <w:t>http://www.scielo.org.pe/scielo.php?script=sci_arttext&amp;pid=S270936892024000100001&amp;lng=es&amp;nrm=iso</w:t>
      </w:r>
      <w:r>
        <w:fldChar w:fldCharType="end"/>
      </w:r>
    </w:p>
    <w:p w14:paraId="5564AC62"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12360898"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lastRenderedPageBreak/>
        <w:t xml:space="preserve">Taylor, Linnet, “¿Qué es la justicia de datos? Argumentos para conectar los derechos y las libertades digitales a nivel global”, SAGE journals, núm 2, vol. 4, 2017, </w:t>
      </w:r>
      <w:r>
        <w:fldChar w:fldCharType="begin"/>
      </w:r>
      <w:r>
        <w:instrText>HYPERLINK "https://doi.org/10.1177/2053951717736335"</w:instrText>
      </w:r>
      <w:r>
        <w:fldChar w:fldCharType="separate"/>
      </w:r>
      <w:r w:rsidRPr="00626242">
        <w:rPr>
          <w:rFonts w:ascii="Aptos" w:eastAsia="Aptos" w:hAnsi="Aptos" w:cs="Times New Roman"/>
          <w:bCs/>
          <w:color w:val="467886"/>
          <w:kern w:val="2"/>
          <w:sz w:val="24"/>
          <w:szCs w:val="24"/>
          <w:u w:val="single"/>
          <w14:ligatures w14:val="standardContextual"/>
        </w:rPr>
        <w:t>https://doi.org/10.1177/2053951717736335</w:t>
      </w:r>
      <w:r>
        <w:fldChar w:fldCharType="end"/>
      </w:r>
    </w:p>
    <w:p w14:paraId="3DF4634B"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6392174D" w14:textId="77777777" w:rsidR="00626242" w:rsidRPr="00626242" w:rsidRDefault="00626242" w:rsidP="00626242">
      <w:pPr>
        <w:spacing w:line="360" w:lineRule="auto"/>
        <w:ind w:left="709" w:hanging="709"/>
        <w:jc w:val="both"/>
        <w:rPr>
          <w:rFonts w:ascii="Aptos" w:eastAsia="Aptos" w:hAnsi="Aptos" w:cs="Times New Roman"/>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Trischler, Helmuth, “El Antropoceno, ¿un concepto geológico o cultural, o ambos?”, Desacatos, Ciudad de México, núm. 54, agosto 2017, pp. 40-57, </w:t>
      </w:r>
      <w:r>
        <w:fldChar w:fldCharType="begin"/>
      </w:r>
      <w:r>
        <w:instrText>HYPERLINK "http://www.scielo.org.mx/scielo.php?script=sci_arttext&amp;pid=S1607-050X2017000200040&amp;lng=es&amp;nrm=iso"</w:instrText>
      </w:r>
      <w:r>
        <w:fldChar w:fldCharType="separate"/>
      </w:r>
      <w:r w:rsidRPr="00626242">
        <w:rPr>
          <w:rFonts w:ascii="Aptos" w:eastAsia="Aptos" w:hAnsi="Aptos" w:cs="Times New Roman"/>
          <w:bCs/>
          <w:color w:val="000000"/>
          <w:kern w:val="2"/>
          <w:sz w:val="24"/>
          <w:szCs w:val="24"/>
          <w14:ligatures w14:val="standardContextual"/>
        </w:rPr>
        <w:t>http://www.scielo.org.mx/scielo.php?script=sci_arttext&amp;pid=S1607-050X2017000200040&amp;lng=es&amp;nrm=iso</w:t>
      </w:r>
      <w:r>
        <w:fldChar w:fldCharType="end"/>
      </w:r>
    </w:p>
    <w:p w14:paraId="7694C3C1"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4426BAB3"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UNESCO, “Gestión del agua en cuencas fronterizas México- Estados Unidos: algunos elementos conceptuales para su estudio”, </w:t>
      </w:r>
      <w:r>
        <w:fldChar w:fldCharType="begin"/>
      </w:r>
      <w:r>
        <w:instrText>HYPERLINK "https://unesdoc.unesco.org/ark:/48223/pf0000216858"</w:instrText>
      </w:r>
      <w:r>
        <w:fldChar w:fldCharType="separate"/>
      </w:r>
      <w:r w:rsidRPr="00626242">
        <w:rPr>
          <w:rFonts w:ascii="Aptos" w:eastAsia="Aptos" w:hAnsi="Aptos" w:cs="Times New Roman"/>
          <w:bCs/>
          <w:color w:val="467886"/>
          <w:kern w:val="2"/>
          <w:sz w:val="24"/>
          <w:szCs w:val="24"/>
          <w:u w:val="single"/>
          <w14:ligatures w14:val="standardContextual"/>
        </w:rPr>
        <w:t>https://unesdoc.unesco.org/ark:/48223/pf0000216858</w:t>
      </w:r>
      <w:r>
        <w:fldChar w:fldCharType="end"/>
      </w:r>
    </w:p>
    <w:p w14:paraId="1CD53AF9"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3B44230C"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14:ligatures w14:val="standardContextual"/>
        </w:rPr>
      </w:pPr>
      <w:r w:rsidRPr="00626242">
        <w:rPr>
          <w:rFonts w:ascii="Aptos" w:eastAsia="Aptos" w:hAnsi="Aptos" w:cs="Times New Roman"/>
          <w:bCs/>
          <w:color w:val="000000"/>
          <w:kern w:val="2"/>
          <w:sz w:val="24"/>
          <w:szCs w:val="24"/>
          <w14:ligatures w14:val="standardContextual"/>
        </w:rPr>
        <w:t xml:space="preserve">Vásquez, Alexis E, “Infraestructura verde, servicios ecosistémicos y sus aportes para enfrentar el cambio climático en ciudades: el caso del corredor ribereño del río Mapocho en Santiago de Chile”, Revista de Geografía Norte Grande, Santiago de Chile, núm. 63, mayo 2016, pp. 63-86, </w:t>
      </w:r>
      <w:r>
        <w:fldChar w:fldCharType="begin"/>
      </w:r>
      <w:r>
        <w:instrText>HYPERLINK "https://www.redalyc.org/pdf/300/30045600005.pdf"</w:instrText>
      </w:r>
      <w:r>
        <w:fldChar w:fldCharType="separate"/>
      </w:r>
      <w:r w:rsidRPr="00626242">
        <w:rPr>
          <w:rFonts w:ascii="Aptos" w:eastAsia="Aptos" w:hAnsi="Aptos" w:cs="Times New Roman"/>
          <w:bCs/>
          <w:color w:val="467886"/>
          <w:kern w:val="2"/>
          <w:sz w:val="24"/>
          <w:szCs w:val="24"/>
          <w:u w:val="single"/>
          <w14:ligatures w14:val="standardContextual"/>
        </w:rPr>
        <w:t>https://www.redalyc.org/pdf/300/30045600005.pdf</w:t>
      </w:r>
      <w:r>
        <w:fldChar w:fldCharType="end"/>
      </w:r>
    </w:p>
    <w:p w14:paraId="40014CDD" w14:textId="77777777" w:rsidR="00626242" w:rsidRPr="00626242" w:rsidRDefault="00626242" w:rsidP="00626242">
      <w:pPr>
        <w:spacing w:after="0" w:line="240" w:lineRule="auto"/>
        <w:rPr>
          <w:rFonts w:ascii="Aptos" w:eastAsia="Aptos" w:hAnsi="Aptos" w:cs="Times New Roman"/>
          <w:kern w:val="2"/>
          <w:sz w:val="24"/>
          <w:szCs w:val="24"/>
          <w14:ligatures w14:val="standardContextual"/>
        </w:rPr>
      </w:pPr>
    </w:p>
    <w:p w14:paraId="0CEE9B65"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r w:rsidRPr="00626242">
        <w:rPr>
          <w:rFonts w:ascii="Aptos" w:eastAsia="Aptos" w:hAnsi="Aptos" w:cs="Times New Roman"/>
          <w:bCs/>
          <w:color w:val="000000"/>
          <w:kern w:val="2"/>
          <w:sz w:val="24"/>
          <w:szCs w:val="24"/>
          <w:lang w:val="en-US"/>
          <w14:ligatures w14:val="standardContextual"/>
        </w:rPr>
        <w:t xml:space="preserve">Will Steffen et al., “The </w:t>
      </w:r>
      <w:proofErr w:type="spellStart"/>
      <w:r w:rsidRPr="00626242">
        <w:rPr>
          <w:rFonts w:ascii="Aptos" w:eastAsia="Aptos" w:hAnsi="Aptos" w:cs="Times New Roman"/>
          <w:bCs/>
          <w:color w:val="000000"/>
          <w:kern w:val="2"/>
          <w:sz w:val="24"/>
          <w:szCs w:val="24"/>
          <w:lang w:val="en-US"/>
          <w14:ligatures w14:val="standardContextual"/>
        </w:rPr>
        <w:t>Antropocene</w:t>
      </w:r>
      <w:proofErr w:type="spellEnd"/>
      <w:r w:rsidRPr="00626242">
        <w:rPr>
          <w:rFonts w:ascii="Aptos" w:eastAsia="Aptos" w:hAnsi="Aptos" w:cs="Times New Roman"/>
          <w:bCs/>
          <w:color w:val="000000"/>
          <w:kern w:val="2"/>
          <w:sz w:val="24"/>
          <w:szCs w:val="24"/>
          <w:lang w:val="en-US"/>
          <w14:ligatures w14:val="standardContextual"/>
        </w:rPr>
        <w:t xml:space="preserve">: From Global Change to Planetary Stewardship”, AMBIO 40, </w:t>
      </w:r>
      <w:proofErr w:type="spellStart"/>
      <w:r w:rsidRPr="00626242">
        <w:rPr>
          <w:rFonts w:ascii="Aptos" w:eastAsia="Aptos" w:hAnsi="Aptos" w:cs="Times New Roman"/>
          <w:bCs/>
          <w:color w:val="000000"/>
          <w:kern w:val="2"/>
          <w:sz w:val="24"/>
          <w:szCs w:val="24"/>
          <w:lang w:val="en-US"/>
          <w14:ligatures w14:val="standardContextual"/>
        </w:rPr>
        <w:t>núm</w:t>
      </w:r>
      <w:proofErr w:type="spellEnd"/>
      <w:r w:rsidRPr="00626242">
        <w:rPr>
          <w:rFonts w:ascii="Aptos" w:eastAsia="Aptos" w:hAnsi="Aptos" w:cs="Times New Roman"/>
          <w:bCs/>
          <w:color w:val="000000"/>
          <w:kern w:val="2"/>
          <w:sz w:val="24"/>
          <w:szCs w:val="24"/>
          <w:lang w:val="en-US"/>
          <w14:ligatures w14:val="standardContextual"/>
        </w:rPr>
        <w:t xml:space="preserve">. 7, pp. 739-761, </w:t>
      </w:r>
      <w:hyperlink r:id="rId15" w:history="1">
        <w:r w:rsidRPr="00626242">
          <w:rPr>
            <w:rFonts w:ascii="Aptos" w:eastAsia="Aptos" w:hAnsi="Aptos" w:cs="Times New Roman"/>
            <w:bCs/>
            <w:color w:val="467886"/>
            <w:kern w:val="2"/>
            <w:sz w:val="24"/>
            <w:szCs w:val="24"/>
            <w:u w:val="single"/>
            <w:lang w:val="en-US"/>
            <w14:ligatures w14:val="standardContextual"/>
          </w:rPr>
          <w:t>https://link.springer.com/journal/13280</w:t>
        </w:r>
      </w:hyperlink>
    </w:p>
    <w:p w14:paraId="38CC34C1" w14:textId="77777777" w:rsidR="00626242" w:rsidRPr="00626242" w:rsidRDefault="00626242" w:rsidP="00626242">
      <w:pPr>
        <w:spacing w:line="360" w:lineRule="auto"/>
        <w:ind w:left="709" w:hanging="709"/>
        <w:jc w:val="both"/>
        <w:rPr>
          <w:rFonts w:ascii="Aptos" w:eastAsia="Aptos" w:hAnsi="Aptos" w:cs="Times New Roman"/>
          <w:bCs/>
          <w:color w:val="000000"/>
          <w:kern w:val="2"/>
          <w:sz w:val="24"/>
          <w:szCs w:val="24"/>
          <w:lang w:val="en-US"/>
          <w14:ligatures w14:val="standardContextual"/>
        </w:rPr>
      </w:pPr>
    </w:p>
    <w:p w14:paraId="0D109966" w14:textId="77777777" w:rsidR="00626242" w:rsidRDefault="00626242" w:rsidP="00626242">
      <w:pPr>
        <w:tabs>
          <w:tab w:val="left" w:pos="411"/>
        </w:tabs>
        <w:spacing w:line="360" w:lineRule="auto"/>
        <w:rPr>
          <w:rFonts w:ascii="Aptos" w:eastAsia="Aptos" w:hAnsi="Aptos" w:cs="Times New Roman"/>
          <w:b/>
          <w:kern w:val="2"/>
          <w:sz w:val="28"/>
          <w:szCs w:val="28"/>
          <w14:ligatures w14:val="standardContextual"/>
        </w:rPr>
      </w:pPr>
    </w:p>
    <w:p w14:paraId="50D983E5" w14:textId="77777777" w:rsidR="003E67E8" w:rsidRPr="008C5405" w:rsidRDefault="003E67E8" w:rsidP="00F05B08">
      <w:pPr>
        <w:spacing w:line="360" w:lineRule="auto"/>
        <w:ind w:left="567" w:hanging="709"/>
        <w:jc w:val="both"/>
        <w:rPr>
          <w:rFonts w:ascii="Aptos" w:eastAsia="Aptos" w:hAnsi="Aptos" w:cs="Times New Roman"/>
          <w:kern w:val="2"/>
          <w:sz w:val="24"/>
          <w:szCs w:val="24"/>
          <w14:ligatures w14:val="standardContextual"/>
        </w:rPr>
      </w:pPr>
    </w:p>
    <w:sectPr w:rsidR="003E67E8" w:rsidRPr="008C5405" w:rsidSect="008C5405">
      <w:headerReference w:type="default" r:id="rId16"/>
      <w:pgSz w:w="12240" w:h="15840"/>
      <w:pgMar w:top="1417" w:right="1325"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8EB0" w14:textId="77777777" w:rsidR="0060525F" w:rsidRDefault="0060525F" w:rsidP="0068047D">
      <w:pPr>
        <w:spacing w:after="0" w:line="240" w:lineRule="auto"/>
      </w:pPr>
      <w:r>
        <w:separator/>
      </w:r>
    </w:p>
  </w:endnote>
  <w:endnote w:type="continuationSeparator" w:id="0">
    <w:p w14:paraId="5984929F" w14:textId="77777777" w:rsidR="0060525F" w:rsidRDefault="0060525F" w:rsidP="0068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5152" w14:textId="77777777" w:rsidR="0060525F" w:rsidRDefault="0060525F" w:rsidP="0068047D">
      <w:pPr>
        <w:spacing w:after="0" w:line="240" w:lineRule="auto"/>
      </w:pPr>
      <w:r>
        <w:separator/>
      </w:r>
    </w:p>
  </w:footnote>
  <w:footnote w:type="continuationSeparator" w:id="0">
    <w:p w14:paraId="0AAC88B0" w14:textId="77777777" w:rsidR="0060525F" w:rsidRDefault="0060525F" w:rsidP="0068047D">
      <w:pPr>
        <w:spacing w:after="0" w:line="240" w:lineRule="auto"/>
      </w:pPr>
      <w:r>
        <w:continuationSeparator/>
      </w:r>
    </w:p>
  </w:footnote>
  <w:footnote w:id="1">
    <w:p w14:paraId="1688A673" w14:textId="77777777" w:rsidR="00626242" w:rsidRPr="00626242" w:rsidRDefault="00626242" w:rsidP="00626242">
      <w:pPr>
        <w:jc w:val="both"/>
        <w:rPr>
          <w:bCs/>
          <w:color w:val="000000"/>
          <w:sz w:val="20"/>
          <w:szCs w:val="20"/>
        </w:rPr>
      </w:pPr>
      <w:r w:rsidRPr="00CD5BD1">
        <w:rPr>
          <w:rStyle w:val="Refdenotaalpie"/>
          <w:sz w:val="20"/>
          <w:szCs w:val="20"/>
        </w:rPr>
        <w:t>*</w:t>
      </w:r>
      <w:r w:rsidRPr="00CD5BD1">
        <w:rPr>
          <w:sz w:val="20"/>
          <w:szCs w:val="20"/>
        </w:rPr>
        <w:t xml:space="preserve"> </w:t>
      </w:r>
      <w:r w:rsidRPr="00626242">
        <w:rPr>
          <w:bCs/>
          <w:color w:val="000000"/>
          <w:sz w:val="20"/>
          <w:szCs w:val="20"/>
        </w:rPr>
        <w:t xml:space="preserve">Estudiante del Posgrado en Derecho. Universidad Autónoma de Guerrero (UAGro).Correo electrónico: </w:t>
      </w:r>
      <w:r>
        <w:fldChar w:fldCharType="begin"/>
      </w:r>
      <w:r>
        <w:instrText>HYPERLINK "mailto:11290562@uagro.mx"</w:instrText>
      </w:r>
      <w:r>
        <w:fldChar w:fldCharType="separate"/>
      </w:r>
      <w:r w:rsidRPr="00CD5BD1">
        <w:rPr>
          <w:rStyle w:val="Hipervnculo"/>
          <w:bCs/>
          <w:sz w:val="20"/>
          <w:szCs w:val="20"/>
        </w:rPr>
        <w:t>11290562@uagro.mx</w:t>
      </w:r>
      <w:r>
        <w:fldChar w:fldCharType="end"/>
      </w:r>
      <w:r w:rsidRPr="00626242">
        <w:rPr>
          <w:bCs/>
          <w:color w:val="000000"/>
          <w:sz w:val="20"/>
          <w:szCs w:val="20"/>
        </w:rPr>
        <w:t>. ORCID: https://orcid.org/0009-0005-6616-0335.</w:t>
      </w:r>
    </w:p>
    <w:p w14:paraId="13664606" w14:textId="77777777" w:rsidR="00626242" w:rsidRPr="00CD5BD1" w:rsidRDefault="00626242" w:rsidP="00626242">
      <w:pPr>
        <w:pStyle w:val="Textonotapie"/>
        <w:rPr>
          <w:lang w:val="es-ES_tradnl"/>
        </w:rPr>
      </w:pPr>
    </w:p>
  </w:footnote>
  <w:footnote w:id="2">
    <w:p w14:paraId="55990927" w14:textId="77777777" w:rsidR="00626242" w:rsidRPr="003E795F" w:rsidRDefault="00626242" w:rsidP="00626242">
      <w:pPr>
        <w:pStyle w:val="Textonotapie"/>
        <w:spacing w:line="360" w:lineRule="auto"/>
        <w:jc w:val="both"/>
        <w:rPr>
          <w:lang w:val="en-US"/>
        </w:rPr>
      </w:pPr>
      <w:r>
        <w:rPr>
          <w:rStyle w:val="Refdenotaalpie"/>
        </w:rPr>
        <w:footnoteRef/>
      </w:r>
      <w:r w:rsidRPr="003E795F">
        <w:rPr>
          <w:lang w:val="en-US"/>
        </w:rPr>
        <w:t xml:space="preserve">Will Steffen et al., “The </w:t>
      </w:r>
      <w:proofErr w:type="spellStart"/>
      <w:r w:rsidRPr="003E795F">
        <w:rPr>
          <w:lang w:val="en-US"/>
        </w:rPr>
        <w:t>Antropocene</w:t>
      </w:r>
      <w:proofErr w:type="spellEnd"/>
      <w:r w:rsidRPr="003E795F">
        <w:rPr>
          <w:lang w:val="en-US"/>
        </w:rPr>
        <w:t xml:space="preserve">: From Global Change to Planetary Stewardship”, </w:t>
      </w:r>
      <w:r w:rsidRPr="003E795F">
        <w:rPr>
          <w:i/>
          <w:iCs/>
          <w:lang w:val="en-US"/>
        </w:rPr>
        <w:t>AMBIO 40</w:t>
      </w:r>
      <w:r w:rsidRPr="003E795F">
        <w:rPr>
          <w:lang w:val="en-US"/>
        </w:rPr>
        <w:t xml:space="preserve">, </w:t>
      </w:r>
      <w:proofErr w:type="spellStart"/>
      <w:r w:rsidRPr="003E795F">
        <w:rPr>
          <w:lang w:val="en-US"/>
        </w:rPr>
        <w:t>núm</w:t>
      </w:r>
      <w:proofErr w:type="spellEnd"/>
      <w:r w:rsidRPr="003E795F">
        <w:rPr>
          <w:lang w:val="en-US"/>
        </w:rPr>
        <w:t>. 7, pp. 739-761, https://link.springer.com/journal/13280</w:t>
      </w:r>
    </w:p>
  </w:footnote>
  <w:footnote w:id="3">
    <w:p w14:paraId="6B01071D" w14:textId="77777777" w:rsidR="00626242" w:rsidRPr="00FC259E" w:rsidRDefault="00626242" w:rsidP="00626242">
      <w:pPr>
        <w:pStyle w:val="Textonotapie"/>
        <w:spacing w:line="360" w:lineRule="auto"/>
        <w:jc w:val="both"/>
        <w:rPr>
          <w:sz w:val="24"/>
          <w:szCs w:val="24"/>
          <w:lang w:val="en-US"/>
        </w:rPr>
      </w:pPr>
      <w:r w:rsidRPr="003E795F">
        <w:rPr>
          <w:rStyle w:val="Refdenotaalpie"/>
        </w:rPr>
        <w:footnoteRef/>
      </w:r>
      <w:r w:rsidRPr="003E795F">
        <w:rPr>
          <w:lang w:val="en-US"/>
        </w:rPr>
        <w:t xml:space="preserve">Elizabeth Fisher, </w:t>
      </w:r>
      <w:proofErr w:type="spellStart"/>
      <w:r w:rsidRPr="003E795F">
        <w:rPr>
          <w:i/>
          <w:iCs/>
          <w:lang w:val="en-US"/>
        </w:rPr>
        <w:t>Enviromental</w:t>
      </w:r>
      <w:proofErr w:type="spellEnd"/>
      <w:r w:rsidRPr="003E795F">
        <w:rPr>
          <w:i/>
          <w:iCs/>
          <w:lang w:val="en-US"/>
        </w:rPr>
        <w:t xml:space="preserve"> Law: A very Short Introduction, </w:t>
      </w:r>
      <w:r w:rsidRPr="003E795F">
        <w:rPr>
          <w:lang w:val="en-US"/>
        </w:rPr>
        <w:t>Oxford, p.45, https://global.oup.com/academic/product/environmental-law-9780198794189?cc=mx&amp;lang=en&amp;</w:t>
      </w:r>
    </w:p>
  </w:footnote>
  <w:footnote w:id="4">
    <w:p w14:paraId="217ADD98" w14:textId="77777777" w:rsidR="00626242" w:rsidRPr="003E795F" w:rsidRDefault="00626242" w:rsidP="00626242">
      <w:pPr>
        <w:pStyle w:val="Textonotapie"/>
        <w:spacing w:line="360" w:lineRule="auto"/>
        <w:jc w:val="both"/>
        <w:rPr>
          <w:lang w:val="en-US"/>
        </w:rPr>
      </w:pPr>
      <w:r w:rsidRPr="003E795F">
        <w:rPr>
          <w:rStyle w:val="Refdenotaalpie"/>
        </w:rPr>
        <w:footnoteRef/>
      </w:r>
      <w:r w:rsidRPr="003E795F">
        <w:t xml:space="preserve">Véase, en este sentido, la propuesta de derechos ambientales vinculantes a la transparencia algorítmica en Linnet Taylor, “¿What ins Data Justice? </w:t>
      </w:r>
      <w:r w:rsidRPr="003E795F">
        <w:rPr>
          <w:lang w:val="en-US"/>
        </w:rPr>
        <w:t xml:space="preserve">The Case for Connecting Digital Rights and Data Justice Agendas”, </w:t>
      </w:r>
      <w:r w:rsidRPr="003E795F">
        <w:rPr>
          <w:i/>
          <w:iCs/>
          <w:lang w:val="en-US"/>
        </w:rPr>
        <w:t xml:space="preserve">Big Data y Society, </w:t>
      </w:r>
      <w:proofErr w:type="spellStart"/>
      <w:r w:rsidRPr="003E795F">
        <w:rPr>
          <w:lang w:val="en-US"/>
        </w:rPr>
        <w:t>núm</w:t>
      </w:r>
      <w:proofErr w:type="spellEnd"/>
      <w:r w:rsidRPr="003E795F">
        <w:rPr>
          <w:lang w:val="en-US"/>
        </w:rPr>
        <w:t xml:space="preserve"> 2, vol.4, 2017, pp 1-14, https://journals.sagepub.com/doi/10.1177/2053951717736335</w:t>
      </w:r>
    </w:p>
  </w:footnote>
  <w:footnote w:id="5">
    <w:p w14:paraId="0193E604" w14:textId="77777777" w:rsidR="00626242" w:rsidRPr="003E795F" w:rsidRDefault="00626242" w:rsidP="00626242">
      <w:pPr>
        <w:pStyle w:val="Textonotapie"/>
        <w:spacing w:line="360" w:lineRule="auto"/>
        <w:jc w:val="both"/>
      </w:pPr>
      <w:bookmarkStart w:id="0" w:name="_Hlk216644486"/>
      <w:r w:rsidRPr="003E795F">
        <w:rPr>
          <w:rStyle w:val="Refdenotaalpie"/>
        </w:rPr>
        <w:footnoteRef/>
      </w:r>
      <w:r w:rsidRPr="003E795F">
        <w:t xml:space="preserve">Trischler, Helmuth, “El Antropoceno, ¿un concepto geológico o cultural, o ambos?”, </w:t>
      </w:r>
      <w:r w:rsidRPr="003E795F">
        <w:rPr>
          <w:i/>
          <w:iCs/>
        </w:rPr>
        <w:t>Desacatos</w:t>
      </w:r>
      <w:r w:rsidRPr="003E795F">
        <w:t>, Ciudad de México, núm. 54, agosto 2017, pp. 40-57, http://www.scielo.org.mx/scielo.php?script=sci_arttext&amp;pid=S1607-050X2017000200040&amp;lng=es&amp;nrm=iso</w:t>
      </w:r>
      <w:bookmarkEnd w:id="0"/>
    </w:p>
  </w:footnote>
  <w:footnote w:id="6">
    <w:p w14:paraId="21EBDA1B" w14:textId="77777777" w:rsidR="00626242" w:rsidRPr="003E795F" w:rsidRDefault="00626242" w:rsidP="00626242">
      <w:pPr>
        <w:pStyle w:val="Textonotapie"/>
        <w:spacing w:line="360" w:lineRule="auto"/>
        <w:jc w:val="both"/>
      </w:pPr>
      <w:r w:rsidRPr="003E795F">
        <w:rPr>
          <w:rStyle w:val="Refdenotaalpie"/>
        </w:rPr>
        <w:footnoteRef/>
      </w:r>
      <w:r w:rsidRPr="003E795F">
        <w:t>Pickering, Jonathan, James Patterson, Frank Biermann, Sarah Burch, Lorraine Elliott, Aarti Gupta, Cristina Yumie Aoki Inoue, et al, “Pluralizar los debates sobre el Antropoceno requiere involucrar la diversidad de la investigación existente”, 2023, Asociación Americana de Geógrafos, núm. 113, vol.2, doi:10.1080/24694452.2022.2105296</w:t>
      </w:r>
    </w:p>
  </w:footnote>
  <w:footnote w:id="7">
    <w:p w14:paraId="701B0F8E" w14:textId="77777777" w:rsidR="00626242" w:rsidRPr="003E795F" w:rsidRDefault="00626242" w:rsidP="00626242">
      <w:pPr>
        <w:pStyle w:val="Textonotapie"/>
        <w:spacing w:line="360" w:lineRule="auto"/>
        <w:jc w:val="both"/>
      </w:pPr>
      <w:r>
        <w:rPr>
          <w:rStyle w:val="Refdenotaalpie"/>
        </w:rPr>
        <w:footnoteRef/>
      </w:r>
      <w:r w:rsidRPr="003E795F">
        <w:t xml:space="preserve">Caballero, Daniel, “Más de una década de Derechos de la Naturaleza: avances y desafíos en Ecuador”, </w:t>
      </w:r>
      <w:r w:rsidRPr="003E795F">
        <w:rPr>
          <w:i/>
          <w:iCs/>
        </w:rPr>
        <w:t>Aportes</w:t>
      </w:r>
      <w:r w:rsidRPr="003E795F">
        <w:t>, núm. 24, junio 2023, pp. 5-40, https://dplf.org/wp-content/uploads/2025/07/Aportes-DPLF-Derechos-de-la-Naturaleza.pdf</w:t>
      </w:r>
    </w:p>
  </w:footnote>
  <w:footnote w:id="8">
    <w:p w14:paraId="5930A672" w14:textId="77777777" w:rsidR="00626242" w:rsidRPr="008712E3" w:rsidRDefault="00626242" w:rsidP="00626242">
      <w:pPr>
        <w:pStyle w:val="Textonotapie"/>
        <w:spacing w:line="360" w:lineRule="auto"/>
        <w:jc w:val="both"/>
        <w:rPr>
          <w:sz w:val="24"/>
          <w:szCs w:val="24"/>
          <w:lang w:val="en-US"/>
        </w:rPr>
      </w:pPr>
      <w:r w:rsidRPr="003E795F">
        <w:rPr>
          <w:rStyle w:val="Refdenotaalpie"/>
        </w:rPr>
        <w:footnoteRef/>
      </w:r>
      <w:r w:rsidRPr="003E795F">
        <w:rPr>
          <w:lang w:val="en-US"/>
        </w:rPr>
        <w:t xml:space="preserve">International Commission on the Futures of Food and Agriculture, </w:t>
      </w:r>
      <w:r w:rsidRPr="003E795F">
        <w:rPr>
          <w:i/>
          <w:iCs/>
          <w:lang w:val="en-US"/>
        </w:rPr>
        <w:t>The Future of Food and Agriculture: Alternative Pathways to 2025</w:t>
      </w:r>
      <w:r w:rsidRPr="003E795F">
        <w:rPr>
          <w:lang w:val="en-US"/>
        </w:rPr>
        <w:t>, Roma, 2018, pp.12-29, https://openknowledge.fao.org/server/api/core/bitstreams/2c6bd7b4-181e-4117-a90d-32a1bda8b27c/content</w:t>
      </w:r>
    </w:p>
  </w:footnote>
  <w:footnote w:id="9">
    <w:p w14:paraId="3A6E3C34" w14:textId="77777777" w:rsidR="00626242" w:rsidRPr="003E795F" w:rsidRDefault="00626242" w:rsidP="00626242">
      <w:pPr>
        <w:pStyle w:val="Textonotapie"/>
        <w:spacing w:line="360" w:lineRule="auto"/>
        <w:jc w:val="both"/>
      </w:pPr>
      <w:r w:rsidRPr="003E795F">
        <w:rPr>
          <w:rStyle w:val="Refdenotaalpie"/>
        </w:rPr>
        <w:footnoteRef/>
      </w:r>
      <w:r w:rsidRPr="003E795F">
        <w:t>López Porras, Gabriel Isacc, Pineda González, Luis Javier, “Sistema de Tierra y derecho: razonamiento jurídico y su argumentación en segunda revolución copernica”, Problema. Anuario de Filosofía y Teoría del Derecho, núm. 19, 2025, pp. 1-25, https://doi.org/10.22201/iij.24487937e.2025.19.18617</w:t>
      </w:r>
    </w:p>
  </w:footnote>
  <w:footnote w:id="10">
    <w:p w14:paraId="32087A19" w14:textId="77777777" w:rsidR="00626242" w:rsidRPr="003E795F" w:rsidRDefault="00626242" w:rsidP="00626242">
      <w:pPr>
        <w:pStyle w:val="Textonotapie"/>
        <w:spacing w:line="360" w:lineRule="auto"/>
        <w:jc w:val="both"/>
      </w:pPr>
      <w:r w:rsidRPr="003E795F">
        <w:rPr>
          <w:rStyle w:val="Refdenotaalpie"/>
        </w:rPr>
        <w:footnoteRef/>
      </w:r>
      <w:r w:rsidRPr="003E795F">
        <w:t>UNESCO, “Gestión del agua en cuencas fronterizas México- Estados Unidos: algunos elementos conceptuales para su estudio”, https://unesdoc.unesco.org/ark:/48223/pf0000216858</w:t>
      </w:r>
    </w:p>
  </w:footnote>
  <w:footnote w:id="11">
    <w:p w14:paraId="0A40D771" w14:textId="77777777" w:rsidR="00626242" w:rsidRPr="003E795F" w:rsidRDefault="00626242" w:rsidP="00626242">
      <w:pPr>
        <w:pStyle w:val="Textonotapie"/>
        <w:spacing w:line="360" w:lineRule="auto"/>
        <w:jc w:val="both"/>
      </w:pPr>
      <w:r w:rsidRPr="003E795F">
        <w:rPr>
          <w:rStyle w:val="Refdenotaalpie"/>
        </w:rPr>
        <w:footnoteRef/>
      </w:r>
      <w:r w:rsidRPr="003E795F">
        <w:t xml:space="preserve">Chávez, Juan Miguel, Mujica, Francisco, “Orden social y orden jurídico: la observación de Niklas Luhmann sobre el derecho”, </w:t>
      </w:r>
      <w:r w:rsidRPr="003E795F">
        <w:rPr>
          <w:i/>
          <w:iCs/>
        </w:rPr>
        <w:t>Sociológica Méx,</w:t>
      </w:r>
      <w:r w:rsidRPr="003E795F">
        <w:t xml:space="preserve"> Ciudad de México, núm. 81, vol. 29, pp. 7-38, abril 2014, http://www.scielo.org.mx/scielo.php?script=sci_arttext&amp;pid=S0187-01732014000100001&amp;lng=es&amp;nrm=iso</w:t>
      </w:r>
    </w:p>
  </w:footnote>
  <w:footnote w:id="12">
    <w:p w14:paraId="7495D307" w14:textId="77777777" w:rsidR="00626242" w:rsidRPr="003E795F" w:rsidRDefault="00626242" w:rsidP="00626242">
      <w:pPr>
        <w:pStyle w:val="Textonotapie"/>
        <w:spacing w:line="360" w:lineRule="auto"/>
        <w:jc w:val="both"/>
      </w:pPr>
      <w:r w:rsidRPr="003E795F">
        <w:rPr>
          <w:rStyle w:val="Refdenotaalpie"/>
        </w:rPr>
        <w:footnoteRef/>
      </w:r>
      <w:r w:rsidRPr="003E795F">
        <w:t xml:space="preserve">Rueda Barrera, Eduardo A, A modo de introducción del dossier “Cosmopolíticas y emancipación en América Latina”, </w:t>
      </w:r>
      <w:r w:rsidRPr="003E795F">
        <w:rPr>
          <w:i/>
          <w:iCs/>
        </w:rPr>
        <w:t xml:space="preserve">Rev. </w:t>
      </w:r>
      <w:r w:rsidRPr="003E795F">
        <w:rPr>
          <w:i/>
          <w:iCs/>
        </w:rPr>
        <w:t xml:space="preserve">Kawsaypacha </w:t>
      </w:r>
      <w:r w:rsidRPr="003E795F">
        <w:t>, Lima, núm. 13, enero 22024. http://www.scielo.org.pe/scielo.php?script=sci_arttext&amp;pid=S270936892024000100001&amp;lng=es&amp;nrm=iso</w:t>
      </w:r>
    </w:p>
  </w:footnote>
  <w:footnote w:id="13">
    <w:p w14:paraId="32CDB099" w14:textId="77777777" w:rsidR="00626242" w:rsidRPr="003E795F" w:rsidRDefault="00626242" w:rsidP="00626242">
      <w:pPr>
        <w:pStyle w:val="Textonotapie"/>
        <w:spacing w:line="360" w:lineRule="auto"/>
        <w:jc w:val="both"/>
      </w:pPr>
      <w:r>
        <w:rPr>
          <w:rStyle w:val="Refdenotaalpie"/>
        </w:rPr>
        <w:footnoteRef/>
      </w:r>
      <w:r w:rsidRPr="003E795F">
        <w:t xml:space="preserve">Esta conceptualización se inspira en la convergencia de los principios del Acuerdo de Escazú y los derechos digitales propuestos por el Relator de la ONU sobre libertad de expresión; véase David Kaye, </w:t>
      </w:r>
      <w:r w:rsidRPr="003E795F">
        <w:rPr>
          <w:i/>
          <w:iCs/>
        </w:rPr>
        <w:t xml:space="preserve">Reporto n Artificial Intelligence and Freedom of Expression, </w:t>
      </w:r>
      <w:r w:rsidRPr="003E795F">
        <w:t>A/HRC/47/25, Nueva York: Naciones Unidas, 2021, https://edri.org/our-work/un-special-rapporteur-report-artificial-intelligence-impact-human-rights/</w:t>
      </w:r>
    </w:p>
  </w:footnote>
  <w:footnote w:id="14">
    <w:p w14:paraId="17FCBD91" w14:textId="77777777" w:rsidR="00626242" w:rsidRPr="00431BAC" w:rsidRDefault="00626242" w:rsidP="00626242">
      <w:pPr>
        <w:pStyle w:val="Textonotapie"/>
        <w:spacing w:line="360" w:lineRule="auto"/>
        <w:jc w:val="both"/>
        <w:rPr>
          <w:sz w:val="24"/>
          <w:szCs w:val="24"/>
          <w:lang w:val="en-US"/>
        </w:rPr>
      </w:pPr>
      <w:r w:rsidRPr="003E795F">
        <w:rPr>
          <w:rStyle w:val="Refdenotaalpie"/>
        </w:rPr>
        <w:footnoteRef/>
      </w:r>
      <w:bookmarkStart w:id="1" w:name="_Hlk216644433"/>
      <w:r w:rsidRPr="003E795F">
        <w:rPr>
          <w:lang w:val="en-US"/>
        </w:rPr>
        <w:t>OECD, “</w:t>
      </w:r>
      <w:proofErr w:type="spellStart"/>
      <w:r w:rsidRPr="003E795F">
        <w:rPr>
          <w:lang w:val="en-US"/>
        </w:rPr>
        <w:t>Digitalisation</w:t>
      </w:r>
      <w:proofErr w:type="spellEnd"/>
      <w:r w:rsidRPr="003E795F">
        <w:rPr>
          <w:lang w:val="en-US"/>
        </w:rPr>
        <w:t xml:space="preserve"> and the Environment: Opportunities and Challenges”, 2023, https://www.oecd.org/en/topics/digitalisation-</w:t>
      </w:r>
      <w:bookmarkEnd w:id="1"/>
      <w:r w:rsidRPr="003E795F">
        <w:rPr>
          <w:lang w:val="en-US"/>
        </w:rPr>
        <w:t>and-the-environment.html</w:t>
      </w:r>
    </w:p>
  </w:footnote>
  <w:footnote w:id="15">
    <w:p w14:paraId="5601314D" w14:textId="77777777" w:rsidR="00626242" w:rsidRPr="003E795F" w:rsidRDefault="00626242" w:rsidP="00626242">
      <w:pPr>
        <w:pStyle w:val="Textonotapie"/>
        <w:spacing w:line="360" w:lineRule="auto"/>
        <w:jc w:val="both"/>
      </w:pPr>
      <w:r w:rsidRPr="003E795F">
        <w:rPr>
          <w:rStyle w:val="Refdenotaalpie"/>
        </w:rPr>
        <w:footnoteRef/>
      </w:r>
      <w:r w:rsidRPr="003E795F">
        <w:t xml:space="preserve">Taylor, Linnet, “¿Qué es la justicia de datos? Argumentos para conectar los derechos y las libertades digitales a nivel global”, </w:t>
      </w:r>
      <w:r w:rsidRPr="003E795F">
        <w:rPr>
          <w:i/>
          <w:iCs/>
        </w:rPr>
        <w:t>SAGE journals,</w:t>
      </w:r>
      <w:r w:rsidRPr="003E795F">
        <w:t xml:space="preserve"> núm 2, vol. 4, 2017, https://doi.org/10.1177/2053951717736335</w:t>
      </w:r>
    </w:p>
  </w:footnote>
  <w:footnote w:id="16">
    <w:p w14:paraId="06CD37B5" w14:textId="77777777" w:rsidR="00626242" w:rsidRPr="003E795F" w:rsidRDefault="00626242" w:rsidP="00626242">
      <w:pPr>
        <w:pStyle w:val="Textonotapie"/>
        <w:spacing w:line="360" w:lineRule="auto"/>
        <w:jc w:val="both"/>
      </w:pPr>
      <w:r>
        <w:rPr>
          <w:rStyle w:val="Refdenotaalpie"/>
        </w:rPr>
        <w:footnoteRef/>
      </w:r>
      <w:r w:rsidRPr="003E795F">
        <w:t>Gobierno de Ciudad de México, “Sistema de Monitoreo Atmosférico”, https://www.aire.cdmx.gob.mx./default.php</w:t>
      </w:r>
    </w:p>
  </w:footnote>
  <w:footnote w:id="17">
    <w:p w14:paraId="09DEE157" w14:textId="77777777" w:rsidR="00626242" w:rsidRPr="003E795F" w:rsidRDefault="00626242" w:rsidP="00626242">
      <w:pPr>
        <w:pStyle w:val="Textonotapie"/>
        <w:spacing w:line="360" w:lineRule="auto"/>
        <w:jc w:val="both"/>
      </w:pPr>
      <w:r w:rsidRPr="003E795F">
        <w:rPr>
          <w:rStyle w:val="Refdenotaalpie"/>
        </w:rPr>
        <w:footnoteRef/>
      </w:r>
      <w:r w:rsidRPr="003E795F">
        <w:t>CEPAL, “Acuerdo regional sobre el Acceso a la Información, la Participación Pública y el Acceso a la Justicia en Asuntos Ambientales en América Latina y el Caribe”, https://www.cepal.org/es/acuerdodeescazu</w:t>
      </w:r>
    </w:p>
  </w:footnote>
  <w:footnote w:id="18">
    <w:p w14:paraId="46777E21" w14:textId="77777777" w:rsidR="00626242" w:rsidRPr="00617012" w:rsidRDefault="00626242" w:rsidP="00626242">
      <w:pPr>
        <w:pStyle w:val="Textonotapie"/>
        <w:spacing w:line="360" w:lineRule="auto"/>
        <w:jc w:val="both"/>
      </w:pPr>
      <w:r w:rsidRPr="003E795F">
        <w:rPr>
          <w:rStyle w:val="Refdenotaalpie"/>
        </w:rPr>
        <w:footnoteRef/>
      </w:r>
      <w:r w:rsidRPr="003E795F">
        <w:t>CEPAL, “Sin inclusión digital, la transformación tecnológica no será progreso, sino una nueva forma de desigualdad”, https://www.cepal.org/es/notas/sin-inclusion-digital-la-transformacion-tecnologica-sera-progreso-sino-nueva-forma-0</w:t>
      </w:r>
    </w:p>
  </w:footnote>
  <w:footnote w:id="19">
    <w:p w14:paraId="712E8251" w14:textId="77777777" w:rsidR="00626242" w:rsidRPr="003E795F" w:rsidRDefault="00626242" w:rsidP="00626242">
      <w:pPr>
        <w:pStyle w:val="Textonotapie"/>
        <w:spacing w:line="360" w:lineRule="auto"/>
        <w:jc w:val="both"/>
      </w:pPr>
      <w:r>
        <w:rPr>
          <w:rStyle w:val="Refdenotaalpie"/>
        </w:rPr>
        <w:footnoteRef/>
      </w:r>
      <w:r w:rsidRPr="003E795F">
        <w:t xml:space="preserve">Vásquez, Alexis E, “Infraestructura verde, servicios ecosistémicos y sus aportes para enfrentar el cambio climático en ciudades: el caso del corredor ribereño del río Mapocho en Santiago de Chile”, </w:t>
      </w:r>
      <w:r w:rsidRPr="003E795F">
        <w:rPr>
          <w:i/>
          <w:iCs/>
        </w:rPr>
        <w:t xml:space="preserve">Revista de Geografía Norte Grande, </w:t>
      </w:r>
      <w:r w:rsidRPr="003E795F">
        <w:t>Santiago de Chile,</w:t>
      </w:r>
      <w:r w:rsidRPr="003E795F">
        <w:rPr>
          <w:i/>
          <w:iCs/>
        </w:rPr>
        <w:t xml:space="preserve"> </w:t>
      </w:r>
      <w:r w:rsidRPr="003E795F">
        <w:t>núm. 63, mayo 2016, pp. 63-86, https://www.redalyc.org/pdf/300/30045600005.pdf</w:t>
      </w:r>
    </w:p>
  </w:footnote>
  <w:footnote w:id="20">
    <w:p w14:paraId="204A3E76" w14:textId="77777777" w:rsidR="00626242" w:rsidRPr="00D549FD" w:rsidRDefault="00626242" w:rsidP="00626242">
      <w:pPr>
        <w:pStyle w:val="Textonotapie"/>
        <w:spacing w:line="360" w:lineRule="auto"/>
        <w:jc w:val="both"/>
        <w:rPr>
          <w:sz w:val="24"/>
          <w:szCs w:val="24"/>
          <w:lang w:val="en-US"/>
        </w:rPr>
      </w:pPr>
      <w:r w:rsidRPr="003E795F">
        <w:rPr>
          <w:rStyle w:val="Refdenotaalpie"/>
        </w:rPr>
        <w:footnoteRef/>
      </w:r>
      <w:r w:rsidRPr="003E795F">
        <w:rPr>
          <w:lang w:val="en-US"/>
        </w:rPr>
        <w:t xml:space="preserve">Eubanks, Virginia, </w:t>
      </w:r>
      <w:r w:rsidRPr="003E795F">
        <w:rPr>
          <w:i/>
          <w:iCs/>
          <w:lang w:val="en-US"/>
        </w:rPr>
        <w:t>Automating Inequality: How High -Tech Tools Profile, Police, and Punish the Poor</w:t>
      </w:r>
      <w:r w:rsidRPr="003E795F">
        <w:rPr>
          <w:lang w:val="en-US"/>
        </w:rPr>
        <w:t xml:space="preserve">, </w:t>
      </w:r>
      <w:proofErr w:type="spellStart"/>
      <w:r w:rsidRPr="003E795F">
        <w:rPr>
          <w:lang w:val="en-US"/>
        </w:rPr>
        <w:t>macmillan</w:t>
      </w:r>
      <w:proofErr w:type="spellEnd"/>
      <w:r w:rsidRPr="003E795F">
        <w:rPr>
          <w:lang w:val="en-US"/>
        </w:rPr>
        <w:t>, Nueva York, 2018, pp. 123-126.</w:t>
      </w:r>
    </w:p>
  </w:footnote>
  <w:footnote w:id="21">
    <w:p w14:paraId="5B4AF109" w14:textId="77777777" w:rsidR="00626242" w:rsidRPr="003E795F" w:rsidRDefault="00626242" w:rsidP="00626242">
      <w:pPr>
        <w:pStyle w:val="Textonotapie"/>
        <w:spacing w:line="360" w:lineRule="auto"/>
        <w:jc w:val="both"/>
      </w:pPr>
      <w:r>
        <w:rPr>
          <w:rStyle w:val="Refdenotaalpie"/>
        </w:rPr>
        <w:footnoteRef/>
      </w:r>
      <w:r w:rsidRPr="003E795F">
        <w:t>Columbia Law School, “Fundación Urgenda contra el Estado de los Países Bajos”, 2015, https://www.climatecasechart.com/document/urgenda-foundation-v-state-of-the-netherlands_3297</w:t>
      </w:r>
    </w:p>
  </w:footnote>
  <w:footnote w:id="22">
    <w:p w14:paraId="650DBAA3" w14:textId="77777777" w:rsidR="00626242" w:rsidRPr="003E795F" w:rsidRDefault="00626242" w:rsidP="00626242">
      <w:pPr>
        <w:pStyle w:val="Textonotapie"/>
        <w:spacing w:line="360" w:lineRule="auto"/>
        <w:jc w:val="both"/>
      </w:pPr>
      <w:r w:rsidRPr="003E795F">
        <w:rPr>
          <w:rStyle w:val="Refdenotaalpie"/>
        </w:rPr>
        <w:footnoteRef/>
      </w:r>
      <w:r w:rsidRPr="003E795F">
        <w:t>Gobierno de Colombia, “Cuarto informe de seguimiento a la Sentencia T-622 de 2016”, 2019, https://atrato.minambiente.gov.co/wp-content/uploads/2021/11/Cuarto-Informe-de-avance-de-cumplimiento-de-la-sentencia-T-622.pdf</w:t>
      </w:r>
    </w:p>
  </w:footnote>
  <w:footnote w:id="23">
    <w:p w14:paraId="5ABDED48" w14:textId="77777777" w:rsidR="00626242" w:rsidRPr="00D549FD" w:rsidRDefault="00626242" w:rsidP="00626242">
      <w:pPr>
        <w:pStyle w:val="Textonotapie"/>
        <w:spacing w:line="360" w:lineRule="auto"/>
        <w:jc w:val="both"/>
        <w:rPr>
          <w:sz w:val="24"/>
          <w:szCs w:val="24"/>
        </w:rPr>
      </w:pPr>
      <w:r w:rsidRPr="003E795F">
        <w:rPr>
          <w:rStyle w:val="Refdenotaalpie"/>
        </w:rPr>
        <w:footnoteRef/>
      </w:r>
      <w:r w:rsidRPr="003E795F">
        <w:t>Ibidem, p.7.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1CB4" w14:textId="77777777" w:rsidR="008C5405" w:rsidRDefault="008C5405">
    <w:pPr>
      <w:pStyle w:val="Encabezado"/>
    </w:pPr>
    <w:r>
      <w:rPr>
        <w:noProof/>
        <w:lang w:eastAsia="es-MX"/>
      </w:rPr>
      <w:drawing>
        <wp:anchor distT="0" distB="0" distL="114300" distR="114300" simplePos="0" relativeHeight="251659264" behindDoc="1" locked="0" layoutInCell="1" allowOverlap="1" wp14:anchorId="60160022" wp14:editId="471007C5">
          <wp:simplePos x="0" y="0"/>
          <wp:positionH relativeFrom="column">
            <wp:posOffset>-883920</wp:posOffset>
          </wp:positionH>
          <wp:positionV relativeFrom="paragraph">
            <wp:posOffset>-496570</wp:posOffset>
          </wp:positionV>
          <wp:extent cx="7680960" cy="9939708"/>
          <wp:effectExtent l="0" t="0" r="254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S REVISTA JURIDICA-03.jpg"/>
                  <pic:cNvPicPr/>
                </pic:nvPicPr>
                <pic:blipFill>
                  <a:blip r:embed="rId1">
                    <a:extLst>
                      <a:ext uri="{28A0092B-C50C-407E-A947-70E740481C1C}">
                        <a14:useLocalDpi xmlns:a14="http://schemas.microsoft.com/office/drawing/2010/main" val="0"/>
                      </a:ext>
                    </a:extLst>
                  </a:blip>
                  <a:stretch>
                    <a:fillRect/>
                  </a:stretch>
                </pic:blipFill>
                <pic:spPr>
                  <a:xfrm>
                    <a:off x="0" y="0"/>
                    <a:ext cx="7680960" cy="99397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5F5"/>
    <w:multiLevelType w:val="hybridMultilevel"/>
    <w:tmpl w:val="4EC43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A539FF"/>
    <w:multiLevelType w:val="hybridMultilevel"/>
    <w:tmpl w:val="43D83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60CCE"/>
    <w:multiLevelType w:val="hybridMultilevel"/>
    <w:tmpl w:val="F8301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26049C"/>
    <w:multiLevelType w:val="multilevel"/>
    <w:tmpl w:val="97F4D0FA"/>
    <w:lvl w:ilvl="0">
      <w:start w:val="4"/>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1F61F6"/>
    <w:multiLevelType w:val="hybridMultilevel"/>
    <w:tmpl w:val="4BFED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885DBC"/>
    <w:multiLevelType w:val="multilevel"/>
    <w:tmpl w:val="98FE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AA3E05"/>
    <w:multiLevelType w:val="hybridMultilevel"/>
    <w:tmpl w:val="AC2CC2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417B91"/>
    <w:multiLevelType w:val="hybridMultilevel"/>
    <w:tmpl w:val="748C9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9EB741E"/>
    <w:multiLevelType w:val="multilevel"/>
    <w:tmpl w:val="FC92042E"/>
    <w:lvl w:ilvl="0">
      <w:start w:val="1"/>
      <w:numFmt w:val="upperRoman"/>
      <w:lvlText w:val="%1."/>
      <w:lvlJc w:val="righ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D854C6"/>
    <w:multiLevelType w:val="hybridMultilevel"/>
    <w:tmpl w:val="1200DD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3724E5"/>
    <w:multiLevelType w:val="hybridMultilevel"/>
    <w:tmpl w:val="54BC3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503FC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5578314">
    <w:abstractNumId w:val="5"/>
  </w:num>
  <w:num w:numId="2" w16cid:durableId="154422129">
    <w:abstractNumId w:val="6"/>
  </w:num>
  <w:num w:numId="3" w16cid:durableId="1568299407">
    <w:abstractNumId w:val="7"/>
  </w:num>
  <w:num w:numId="4" w16cid:durableId="1524854328">
    <w:abstractNumId w:val="0"/>
  </w:num>
  <w:num w:numId="5" w16cid:durableId="1906446629">
    <w:abstractNumId w:val="4"/>
  </w:num>
  <w:num w:numId="6" w16cid:durableId="1700888442">
    <w:abstractNumId w:val="1"/>
  </w:num>
  <w:num w:numId="7" w16cid:durableId="1691250871">
    <w:abstractNumId w:val="10"/>
  </w:num>
  <w:num w:numId="8" w16cid:durableId="735133548">
    <w:abstractNumId w:val="2"/>
  </w:num>
  <w:num w:numId="9" w16cid:durableId="2019191484">
    <w:abstractNumId w:val="11"/>
  </w:num>
  <w:num w:numId="10" w16cid:durableId="2090229879">
    <w:abstractNumId w:val="8"/>
  </w:num>
  <w:num w:numId="11" w16cid:durableId="1621374808">
    <w:abstractNumId w:val="9"/>
  </w:num>
  <w:num w:numId="12" w16cid:durableId="47155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E8"/>
    <w:rsid w:val="00004D92"/>
    <w:rsid w:val="00143380"/>
    <w:rsid w:val="0029329D"/>
    <w:rsid w:val="002F680C"/>
    <w:rsid w:val="003E67E8"/>
    <w:rsid w:val="00463522"/>
    <w:rsid w:val="00526041"/>
    <w:rsid w:val="0060525F"/>
    <w:rsid w:val="00626242"/>
    <w:rsid w:val="0068047D"/>
    <w:rsid w:val="007664D0"/>
    <w:rsid w:val="008748D4"/>
    <w:rsid w:val="008C5405"/>
    <w:rsid w:val="00A235A4"/>
    <w:rsid w:val="00BA7A63"/>
    <w:rsid w:val="00BD4941"/>
    <w:rsid w:val="00D45606"/>
    <w:rsid w:val="00DC4E3E"/>
    <w:rsid w:val="00DC62DA"/>
    <w:rsid w:val="00DF2991"/>
    <w:rsid w:val="00E47E8A"/>
    <w:rsid w:val="00F05B08"/>
    <w:rsid w:val="00FA2E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203E"/>
  <w15:chartTrackingRefBased/>
  <w15:docId w15:val="{D26B447C-2991-4452-9886-D21DF3D6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E67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3E67E8"/>
    <w:rPr>
      <w:b/>
      <w:bCs/>
    </w:rPr>
  </w:style>
  <w:style w:type="paragraph" w:styleId="Encabezado">
    <w:name w:val="header"/>
    <w:basedOn w:val="Normal"/>
    <w:link w:val="EncabezadoCar"/>
    <w:uiPriority w:val="99"/>
    <w:unhideWhenUsed/>
    <w:rsid w:val="006804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47D"/>
  </w:style>
  <w:style w:type="paragraph" w:styleId="Piedepgina">
    <w:name w:val="footer"/>
    <w:basedOn w:val="Normal"/>
    <w:link w:val="PiedepginaCar"/>
    <w:uiPriority w:val="99"/>
    <w:unhideWhenUsed/>
    <w:rsid w:val="006804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47D"/>
  </w:style>
  <w:style w:type="paragraph" w:styleId="Textodeglobo">
    <w:name w:val="Balloon Text"/>
    <w:basedOn w:val="Normal"/>
    <w:link w:val="TextodegloboCar"/>
    <w:uiPriority w:val="99"/>
    <w:semiHidden/>
    <w:unhideWhenUsed/>
    <w:rsid w:val="006804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047D"/>
    <w:rPr>
      <w:rFonts w:ascii="Segoe UI" w:hAnsi="Segoe UI" w:cs="Segoe UI"/>
      <w:sz w:val="18"/>
      <w:szCs w:val="18"/>
    </w:rPr>
  </w:style>
  <w:style w:type="paragraph" w:styleId="Textonotapie">
    <w:name w:val="footnote text"/>
    <w:basedOn w:val="Normal"/>
    <w:link w:val="TextonotapieCar"/>
    <w:uiPriority w:val="99"/>
    <w:semiHidden/>
    <w:unhideWhenUsed/>
    <w:rsid w:val="008C54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5405"/>
    <w:rPr>
      <w:sz w:val="20"/>
      <w:szCs w:val="20"/>
    </w:rPr>
  </w:style>
  <w:style w:type="character" w:styleId="Refdenotaalpie">
    <w:name w:val="footnote reference"/>
    <w:aliases w:val="Ref. de nota al pie 2,Texto de nota al pie,Footnotes refss,Appel note de bas de page,referencia nota al pie,Footnote number,BVI fnr,f,4_G,16 Point,Superscript 6 Point,Texto nota al pie,Pie de Página,FC,Texto de nota al pi,Nota de pie"/>
    <w:basedOn w:val="Fuentedeprrafopredeter"/>
    <w:link w:val="4GChar"/>
    <w:uiPriority w:val="99"/>
    <w:unhideWhenUsed/>
    <w:qFormat/>
    <w:rsid w:val="008C540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C5405"/>
    <w:pPr>
      <w:spacing w:after="0" w:line="240" w:lineRule="auto"/>
      <w:jc w:val="both"/>
    </w:pPr>
    <w:rPr>
      <w:vertAlign w:val="superscript"/>
    </w:rPr>
  </w:style>
  <w:style w:type="character" w:customStyle="1" w:styleId="Hipervnculo1">
    <w:name w:val="Hipervínculo1"/>
    <w:basedOn w:val="Fuentedeprrafopredeter"/>
    <w:uiPriority w:val="99"/>
    <w:unhideWhenUsed/>
    <w:rsid w:val="00DC4E3E"/>
    <w:rPr>
      <w:color w:val="467886"/>
      <w:u w:val="single"/>
    </w:rPr>
  </w:style>
  <w:style w:type="character" w:customStyle="1" w:styleId="normaltextrun">
    <w:name w:val="normaltextrun"/>
    <w:basedOn w:val="Fuentedeprrafopredeter"/>
    <w:rsid w:val="00DC4E3E"/>
  </w:style>
  <w:style w:type="character" w:styleId="Hipervnculo">
    <w:name w:val="Hyperlink"/>
    <w:basedOn w:val="Fuentedeprrafopredeter"/>
    <w:uiPriority w:val="99"/>
    <w:unhideWhenUsed/>
    <w:rsid w:val="00DC4E3E"/>
    <w:rPr>
      <w:color w:val="0563C1" w:themeColor="hyperlink"/>
      <w:u w:val="single"/>
    </w:rPr>
  </w:style>
  <w:style w:type="character" w:customStyle="1" w:styleId="ng-star-inserted">
    <w:name w:val="ng-star-inserted"/>
    <w:basedOn w:val="Fuentedeprrafopredeter"/>
    <w:rsid w:val="00F05B08"/>
  </w:style>
  <w:style w:type="paragraph" w:customStyle="1" w:styleId="temp">
    <w:name w:val="temp"/>
    <w:basedOn w:val="Normal"/>
    <w:rsid w:val="00F05B0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05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03907">
      <w:bodyDiv w:val="1"/>
      <w:marLeft w:val="0"/>
      <w:marRight w:val="0"/>
      <w:marTop w:val="0"/>
      <w:marBottom w:val="0"/>
      <w:divBdr>
        <w:top w:val="none" w:sz="0" w:space="0" w:color="auto"/>
        <w:left w:val="none" w:sz="0" w:space="0" w:color="auto"/>
        <w:bottom w:val="none" w:sz="0" w:space="0" w:color="auto"/>
        <w:right w:val="none" w:sz="0" w:space="0" w:color="auto"/>
      </w:divBdr>
    </w:div>
    <w:div w:id="1236477102">
      <w:bodyDiv w:val="1"/>
      <w:marLeft w:val="0"/>
      <w:marRight w:val="0"/>
      <w:marTop w:val="0"/>
      <w:marBottom w:val="0"/>
      <w:divBdr>
        <w:top w:val="none" w:sz="0" w:space="0" w:color="auto"/>
        <w:left w:val="none" w:sz="0" w:space="0" w:color="auto"/>
        <w:bottom w:val="none" w:sz="0" w:space="0" w:color="auto"/>
        <w:right w:val="none" w:sz="0" w:space="0" w:color="auto"/>
      </w:divBdr>
    </w:div>
    <w:div w:id="1688749330">
      <w:bodyDiv w:val="1"/>
      <w:marLeft w:val="0"/>
      <w:marRight w:val="0"/>
      <w:marTop w:val="0"/>
      <w:marBottom w:val="0"/>
      <w:divBdr>
        <w:top w:val="none" w:sz="0" w:space="0" w:color="auto"/>
        <w:left w:val="none" w:sz="0" w:space="0" w:color="auto"/>
        <w:bottom w:val="none" w:sz="0" w:space="0" w:color="auto"/>
        <w:right w:val="none" w:sz="0" w:space="0" w:color="auto"/>
      </w:divBdr>
    </w:div>
    <w:div w:id="1971784178">
      <w:bodyDiv w:val="1"/>
      <w:marLeft w:val="0"/>
      <w:marRight w:val="0"/>
      <w:marTop w:val="0"/>
      <w:marBottom w:val="0"/>
      <w:divBdr>
        <w:top w:val="none" w:sz="0" w:space="0" w:color="auto"/>
        <w:left w:val="none" w:sz="0" w:space="0" w:color="auto"/>
        <w:bottom w:val="none" w:sz="0" w:space="0" w:color="auto"/>
        <w:right w:val="none" w:sz="0" w:space="0" w:color="auto"/>
      </w:divBdr>
    </w:div>
    <w:div w:id="2029788900">
      <w:bodyDiv w:val="1"/>
      <w:marLeft w:val="0"/>
      <w:marRight w:val="0"/>
      <w:marTop w:val="0"/>
      <w:marBottom w:val="0"/>
      <w:divBdr>
        <w:top w:val="none" w:sz="0" w:space="0" w:color="auto"/>
        <w:left w:val="none" w:sz="0" w:space="0" w:color="auto"/>
        <w:bottom w:val="none" w:sz="0" w:space="0" w:color="auto"/>
        <w:right w:val="none" w:sz="0" w:space="0" w:color="auto"/>
      </w:divBdr>
    </w:div>
    <w:div w:id="205438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penknowledge.fao.org/server/api/core/bitstreams/2c6bd7b4-181e-4117-a90d-32a1bda8b27c/cont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lobal.oup.com/academic/product/environmental-law-9780198794189?cc=mx&amp;lang=en&am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1290562@uagro.mx" TargetMode="External"/><Relationship Id="rId5" Type="http://schemas.openxmlformats.org/officeDocument/2006/relationships/footnotes" Target="footnotes.xml"/><Relationship Id="rId15" Type="http://schemas.openxmlformats.org/officeDocument/2006/relationships/hyperlink" Target="https://link.springer.com/journal/13280"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oecd.org/en/topics/digital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3312</Words>
  <Characters>21133</Characters>
  <Application>Microsoft Office Word</Application>
  <DocSecurity>0</DocSecurity>
  <Lines>406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ELENA</dc:creator>
  <cp:keywords/>
  <dc:description/>
  <cp:lastModifiedBy>Arturo Santos Lorenzo</cp:lastModifiedBy>
  <cp:revision>2</cp:revision>
  <cp:lastPrinted>2026-03-04T22:26:00Z</cp:lastPrinted>
  <dcterms:created xsi:type="dcterms:W3CDTF">2026-03-19T07:31:00Z</dcterms:created>
  <dcterms:modified xsi:type="dcterms:W3CDTF">2026-03-19T07:31:00Z</dcterms:modified>
</cp:coreProperties>
</file>